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DFBC27">
      <w:pPr>
        <w:jc w:val="center"/>
        <w:rPr>
          <w:rFonts w:hint="eastAsia" w:ascii="Times New Roman" w:hAnsi="Times New Roman" w:eastAsia="方正小标宋简体" w:cs="方正小标宋简体"/>
          <w:sz w:val="44"/>
          <w:szCs w:val="44"/>
          <w:highlight w:val="none"/>
        </w:rPr>
      </w:pPr>
    </w:p>
    <w:p w14:paraId="501F953C">
      <w:pPr>
        <w:jc w:val="center"/>
        <w:rPr>
          <w:rFonts w:hint="eastAsia" w:ascii="Times New Roman" w:hAnsi="Times New Roman" w:eastAsia="方正小标宋简体" w:cs="方正小标宋简体"/>
          <w:sz w:val="44"/>
          <w:szCs w:val="44"/>
          <w:highlight w:val="none"/>
        </w:rPr>
      </w:pPr>
    </w:p>
    <w:p w14:paraId="2B28D879">
      <w:pPr>
        <w:jc w:val="center"/>
        <w:rPr>
          <w:rFonts w:hint="eastAsia" w:ascii="Times New Roman" w:hAnsi="Times New Roman" w:eastAsia="方正小标宋简体" w:cs="方正小标宋简体"/>
          <w:sz w:val="44"/>
          <w:szCs w:val="44"/>
          <w:highlight w:val="none"/>
        </w:rPr>
      </w:pPr>
    </w:p>
    <w:p w14:paraId="460DF959">
      <w:pPr>
        <w:jc w:val="center"/>
        <w:rPr>
          <w:rFonts w:hint="eastAsia" w:ascii="Times New Roman" w:hAnsi="Times New Roman" w:eastAsia="方正小标宋简体" w:cs="方正小标宋简体"/>
          <w:sz w:val="44"/>
          <w:szCs w:val="44"/>
          <w:highlight w:val="none"/>
        </w:rPr>
      </w:pPr>
    </w:p>
    <w:p w14:paraId="2846D400">
      <w:pPr>
        <w:jc w:val="center"/>
        <w:rPr>
          <w:rFonts w:hint="eastAsia" w:ascii="Times New Roman" w:hAnsi="Times New Roman" w:eastAsia="方正小标宋简体" w:cs="方正小标宋简体"/>
          <w:sz w:val="44"/>
          <w:szCs w:val="44"/>
          <w:highlight w:val="none"/>
        </w:rPr>
      </w:pPr>
    </w:p>
    <w:p w14:paraId="4FF01D77">
      <w:pPr>
        <w:jc w:val="center"/>
        <w:rPr>
          <w:rFonts w:hint="eastAsia" w:ascii="Times New Roman" w:hAnsi="Times New Roman" w:eastAsia="方正小标宋简体" w:cs="方正小标宋简体"/>
          <w:sz w:val="44"/>
          <w:szCs w:val="44"/>
          <w:highlight w:val="none"/>
        </w:rPr>
      </w:pPr>
    </w:p>
    <w:p w14:paraId="6894EEC1">
      <w:pPr>
        <w:jc w:val="center"/>
        <w:rPr>
          <w:rFonts w:hint="eastAsia" w:ascii="Times New Roman" w:hAnsi="Times New Roman" w:eastAsia="方正小标宋简体" w:cs="方正小标宋简体"/>
          <w:sz w:val="44"/>
          <w:szCs w:val="44"/>
          <w:highlight w:val="none"/>
        </w:rPr>
      </w:pPr>
    </w:p>
    <w:p w14:paraId="79916AFA">
      <w:pPr>
        <w:jc w:val="center"/>
        <w:rPr>
          <w:rFonts w:hint="eastAsia" w:ascii="Times New Roman" w:hAnsi="Times New Roman" w:eastAsia="方正小标宋简体" w:cs="方正小标宋简体"/>
          <w:sz w:val="44"/>
          <w:szCs w:val="44"/>
          <w:highlight w:val="none"/>
        </w:rPr>
      </w:pPr>
    </w:p>
    <w:p w14:paraId="59745DE9">
      <w:pPr>
        <w:jc w:val="center"/>
        <w:rPr>
          <w:rFonts w:hint="eastAsia" w:ascii="Times New Roman" w:hAnsi="Times New Roman" w:eastAsia="方正小标宋简体" w:cs="方正小标宋简体"/>
          <w:sz w:val="44"/>
          <w:szCs w:val="44"/>
          <w:highlight w:val="none"/>
        </w:rPr>
      </w:pPr>
      <w:r>
        <w:rPr>
          <w:rFonts w:hint="eastAsia" w:ascii="Times New Roman" w:hAnsi="Times New Roman" w:eastAsia="方正小标宋简体" w:cs="方正小标宋简体"/>
          <w:sz w:val="44"/>
          <w:szCs w:val="44"/>
          <w:highlight w:val="none"/>
        </w:rPr>
        <w:t>202</w:t>
      </w:r>
      <w:r>
        <w:rPr>
          <w:rFonts w:hint="eastAsia" w:ascii="Times New Roman" w:hAnsi="Times New Roman" w:eastAsia="方正小标宋简体" w:cs="方正小标宋简体"/>
          <w:sz w:val="44"/>
          <w:szCs w:val="44"/>
          <w:highlight w:val="none"/>
          <w:lang w:val="en-US" w:eastAsia="zh-CN"/>
        </w:rPr>
        <w:t>5</w:t>
      </w:r>
      <w:r>
        <w:rPr>
          <w:rFonts w:hint="eastAsia" w:ascii="Times New Roman" w:hAnsi="Times New Roman" w:eastAsia="方正小标宋简体" w:cs="方正小标宋简体"/>
          <w:sz w:val="44"/>
          <w:szCs w:val="44"/>
          <w:highlight w:val="none"/>
        </w:rPr>
        <w:t>年度</w:t>
      </w:r>
    </w:p>
    <w:p w14:paraId="2BDEF922">
      <w:pPr>
        <w:jc w:val="center"/>
        <w:rPr>
          <w:rFonts w:hint="eastAsia" w:ascii="Times New Roman" w:hAnsi="Times New Roman" w:eastAsia="方正小标宋简体" w:cs="方正小标宋简体"/>
          <w:sz w:val="44"/>
          <w:szCs w:val="44"/>
          <w:highlight w:val="none"/>
        </w:rPr>
      </w:pPr>
      <w:r>
        <w:rPr>
          <w:rFonts w:hint="eastAsia" w:ascii="Times New Roman" w:hAnsi="Times New Roman" w:eastAsia="方正小标宋简体" w:cs="方正小标宋简体"/>
          <w:sz w:val="44"/>
          <w:szCs w:val="44"/>
          <w:highlight w:val="none"/>
          <w:lang w:eastAsia="zh-CN"/>
        </w:rPr>
        <w:t>通化市东昌区信访局本级</w:t>
      </w:r>
      <w:r>
        <w:rPr>
          <w:rFonts w:hint="eastAsia" w:ascii="Times New Roman" w:hAnsi="Times New Roman" w:eastAsia="方正小标宋简体" w:cs="方正小标宋简体"/>
          <w:sz w:val="44"/>
          <w:szCs w:val="44"/>
          <w:highlight w:val="none"/>
        </w:rPr>
        <w:t>部门决算</w:t>
      </w:r>
    </w:p>
    <w:p w14:paraId="12507B70">
      <w:pPr>
        <w:jc w:val="center"/>
        <w:rPr>
          <w:rFonts w:hint="eastAsia" w:ascii="Times New Roman" w:hAnsi="Times New Roman" w:eastAsia="方正小标宋简体" w:cs="Arial"/>
          <w:sz w:val="44"/>
          <w:szCs w:val="44"/>
          <w:highlight w:val="none"/>
        </w:rPr>
      </w:pPr>
    </w:p>
    <w:p w14:paraId="207652ED">
      <w:pPr>
        <w:jc w:val="center"/>
        <w:rPr>
          <w:rFonts w:ascii="Times New Roman" w:hAnsi="Times New Roman" w:eastAsia="仿宋" w:cs="Arial"/>
          <w:sz w:val="44"/>
          <w:szCs w:val="44"/>
          <w:highlight w:val="none"/>
        </w:rPr>
      </w:pPr>
    </w:p>
    <w:p w14:paraId="72CFAF62">
      <w:pPr>
        <w:jc w:val="center"/>
        <w:rPr>
          <w:rFonts w:ascii="Times New Roman" w:hAnsi="Times New Roman" w:eastAsia="仿宋" w:cs="Arial"/>
          <w:sz w:val="44"/>
          <w:szCs w:val="44"/>
          <w:highlight w:val="none"/>
        </w:rPr>
      </w:pPr>
    </w:p>
    <w:p w14:paraId="42F79C63">
      <w:pPr>
        <w:jc w:val="center"/>
        <w:rPr>
          <w:rFonts w:ascii="Times New Roman" w:hAnsi="Times New Roman" w:eastAsia="仿宋" w:cs="Arial"/>
          <w:sz w:val="44"/>
          <w:szCs w:val="44"/>
          <w:highlight w:val="none"/>
        </w:rPr>
      </w:pPr>
    </w:p>
    <w:p w14:paraId="7B138348">
      <w:pPr>
        <w:jc w:val="center"/>
        <w:rPr>
          <w:rFonts w:ascii="Times New Roman" w:hAnsi="Times New Roman" w:eastAsia="仿宋" w:cs="Arial"/>
          <w:sz w:val="44"/>
          <w:szCs w:val="44"/>
          <w:highlight w:val="none"/>
        </w:rPr>
      </w:pPr>
    </w:p>
    <w:p w14:paraId="13276CFB">
      <w:pPr>
        <w:jc w:val="center"/>
        <w:rPr>
          <w:rFonts w:ascii="Times New Roman" w:hAnsi="Times New Roman" w:eastAsia="仿宋" w:cs="Arial"/>
          <w:sz w:val="44"/>
          <w:szCs w:val="44"/>
          <w:highlight w:val="none"/>
        </w:rPr>
      </w:pPr>
    </w:p>
    <w:p w14:paraId="16F2FEB7">
      <w:pPr>
        <w:jc w:val="center"/>
        <w:rPr>
          <w:rFonts w:ascii="Times New Roman" w:hAnsi="Times New Roman" w:eastAsia="仿宋" w:cs="Arial"/>
          <w:sz w:val="44"/>
          <w:szCs w:val="44"/>
          <w:highlight w:val="none"/>
        </w:rPr>
      </w:pPr>
    </w:p>
    <w:p w14:paraId="013DF5C0">
      <w:pPr>
        <w:jc w:val="center"/>
        <w:rPr>
          <w:rFonts w:ascii="Times New Roman" w:hAnsi="Times New Roman" w:eastAsia="仿宋" w:cs="Arial"/>
          <w:sz w:val="32"/>
          <w:szCs w:val="32"/>
          <w:highlight w:val="none"/>
        </w:rPr>
      </w:pPr>
      <w:r>
        <w:rPr>
          <w:rFonts w:ascii="Times New Roman" w:hAnsi="Times New Roman" w:eastAsia="仿宋" w:cs="Arial"/>
          <w:sz w:val="32"/>
          <w:szCs w:val="32"/>
          <w:highlight w:val="none"/>
        </w:rPr>
        <w:t>202</w:t>
      </w:r>
      <w:r>
        <w:rPr>
          <w:rFonts w:hint="eastAsia" w:ascii="Times New Roman" w:hAnsi="Times New Roman" w:eastAsia="仿宋" w:cs="Arial"/>
          <w:sz w:val="32"/>
          <w:szCs w:val="32"/>
          <w:highlight w:val="none"/>
          <w:lang w:val="en-US" w:eastAsia="zh-CN"/>
        </w:rPr>
        <w:t>6</w:t>
      </w:r>
      <w:r>
        <w:rPr>
          <w:rFonts w:hint="eastAsia" w:ascii="Times New Roman" w:hAnsi="Times New Roman" w:eastAsia="仿宋" w:cs="Arial"/>
          <w:sz w:val="32"/>
          <w:szCs w:val="32"/>
          <w:highlight w:val="none"/>
        </w:rPr>
        <w:t>年</w:t>
      </w:r>
      <w:r>
        <w:rPr>
          <w:rFonts w:hint="eastAsia" w:ascii="Times New Roman" w:hAnsi="Times New Roman" w:eastAsia="仿宋" w:cs="Arial"/>
          <w:color w:val="auto"/>
          <w:sz w:val="32"/>
          <w:szCs w:val="32"/>
          <w:highlight w:val="none"/>
          <w:lang w:val="en-US" w:eastAsia="zh-CN"/>
        </w:rPr>
        <w:t>8</w:t>
      </w:r>
      <w:r>
        <w:rPr>
          <w:rFonts w:hint="eastAsia" w:ascii="Times New Roman" w:hAnsi="Times New Roman" w:eastAsia="仿宋" w:cs="Arial"/>
          <w:color w:val="auto"/>
          <w:sz w:val="32"/>
          <w:szCs w:val="32"/>
          <w:highlight w:val="none"/>
        </w:rPr>
        <w:t>月</w:t>
      </w:r>
      <w:r>
        <w:rPr>
          <w:rFonts w:hint="eastAsia" w:ascii="Times New Roman" w:hAnsi="Times New Roman" w:eastAsia="仿宋" w:cs="Arial"/>
          <w:color w:val="auto"/>
          <w:sz w:val="32"/>
          <w:szCs w:val="32"/>
          <w:highlight w:val="none"/>
          <w:lang w:val="en-US" w:eastAsia="zh-CN"/>
        </w:rPr>
        <w:t>19</w:t>
      </w:r>
      <w:r>
        <w:rPr>
          <w:rFonts w:hint="eastAsia" w:ascii="Times New Roman" w:hAnsi="Times New Roman" w:eastAsia="仿宋" w:cs="Arial"/>
          <w:color w:val="auto"/>
          <w:sz w:val="32"/>
          <w:szCs w:val="32"/>
          <w:highlight w:val="none"/>
        </w:rPr>
        <w:t>日</w:t>
      </w:r>
    </w:p>
    <w:p w14:paraId="62B96EBF">
      <w:pPr>
        <w:pStyle w:val="2"/>
        <w:spacing w:before="139" w:line="227" w:lineRule="auto"/>
        <w:ind w:left="3504"/>
        <w:outlineLvl w:val="0"/>
        <w:rPr>
          <w:spacing w:val="-49"/>
          <w:sz w:val="43"/>
          <w:szCs w:val="43"/>
        </w:rPr>
      </w:pPr>
    </w:p>
    <w:p w14:paraId="26CCF8EA">
      <w:pPr>
        <w:pStyle w:val="2"/>
        <w:spacing w:before="139" w:line="227" w:lineRule="auto"/>
        <w:ind w:left="3504"/>
        <w:outlineLvl w:val="0"/>
        <w:rPr>
          <w:spacing w:val="-49"/>
          <w:sz w:val="43"/>
          <w:szCs w:val="43"/>
        </w:rPr>
      </w:pPr>
    </w:p>
    <w:p w14:paraId="591F9DFE">
      <w:pPr>
        <w:pStyle w:val="2"/>
        <w:spacing w:before="139" w:line="227" w:lineRule="auto"/>
        <w:ind w:left="3504"/>
        <w:outlineLvl w:val="0"/>
        <w:rPr>
          <w:spacing w:val="-49"/>
          <w:sz w:val="43"/>
          <w:szCs w:val="43"/>
        </w:rPr>
      </w:pPr>
    </w:p>
    <w:p w14:paraId="7E59515D">
      <w:pPr>
        <w:pStyle w:val="2"/>
        <w:spacing w:before="139" w:line="227" w:lineRule="auto"/>
        <w:ind w:left="3504"/>
        <w:outlineLvl w:val="0"/>
        <w:rPr>
          <w:spacing w:val="-49"/>
          <w:sz w:val="43"/>
          <w:szCs w:val="43"/>
        </w:rPr>
      </w:pPr>
    </w:p>
    <w:p w14:paraId="712BEF97">
      <w:pPr>
        <w:pStyle w:val="2"/>
        <w:spacing w:before="139" w:line="227" w:lineRule="auto"/>
        <w:ind w:left="3504"/>
        <w:outlineLvl w:val="0"/>
        <w:rPr>
          <w:spacing w:val="-49"/>
          <w:sz w:val="43"/>
          <w:szCs w:val="43"/>
        </w:rPr>
      </w:pPr>
    </w:p>
    <w:p w14:paraId="7F779608">
      <w:pPr>
        <w:pStyle w:val="2"/>
        <w:spacing w:before="139" w:line="227" w:lineRule="auto"/>
        <w:ind w:left="3504"/>
        <w:outlineLvl w:val="0"/>
        <w:rPr>
          <w:spacing w:val="-49"/>
          <w:sz w:val="43"/>
          <w:szCs w:val="43"/>
        </w:rPr>
      </w:pPr>
    </w:p>
    <w:p w14:paraId="01ECAB68">
      <w:pPr>
        <w:pStyle w:val="2"/>
        <w:spacing w:before="139" w:line="227" w:lineRule="auto"/>
        <w:ind w:left="3504"/>
        <w:outlineLvl w:val="0"/>
        <w:rPr>
          <w:spacing w:val="-49"/>
          <w:sz w:val="43"/>
          <w:szCs w:val="43"/>
        </w:rPr>
      </w:pPr>
    </w:p>
    <w:p w14:paraId="7D860573">
      <w:pPr>
        <w:pStyle w:val="2"/>
        <w:spacing w:before="139" w:line="227" w:lineRule="auto"/>
        <w:ind w:left="3504"/>
        <w:outlineLvl w:val="0"/>
        <w:rPr>
          <w:sz w:val="43"/>
          <w:szCs w:val="43"/>
        </w:rPr>
      </w:pPr>
      <w:r>
        <w:rPr>
          <w:spacing w:val="-49"/>
          <w:sz w:val="43"/>
          <w:szCs w:val="43"/>
        </w:rPr>
        <w:t>目录</w:t>
      </w:r>
    </w:p>
    <w:p w14:paraId="5CDEDBED">
      <w:pPr>
        <w:spacing w:line="338" w:lineRule="auto"/>
        <w:rPr>
          <w:rFonts w:ascii="Arial"/>
          <w:sz w:val="21"/>
        </w:rPr>
      </w:pPr>
    </w:p>
    <w:p w14:paraId="727AB6D2">
      <w:pPr>
        <w:spacing w:line="338" w:lineRule="auto"/>
        <w:rPr>
          <w:rFonts w:ascii="Arial"/>
          <w:sz w:val="21"/>
        </w:rPr>
      </w:pPr>
    </w:p>
    <w:p w14:paraId="58E5D7E8">
      <w:pPr>
        <w:pStyle w:val="2"/>
        <w:spacing w:before="101" w:line="227" w:lineRule="auto"/>
        <w:ind w:left="48"/>
      </w:pPr>
      <w:r>
        <w:rPr>
          <w:b/>
          <w:bCs/>
        </w:rPr>
        <w:t>第一部分部门概况</w:t>
      </w:r>
    </w:p>
    <w:p w14:paraId="7DA26780">
      <w:pPr>
        <w:pStyle w:val="2"/>
        <w:spacing w:before="242" w:line="227" w:lineRule="auto"/>
        <w:ind w:left="40"/>
      </w:pPr>
      <w:r>
        <w:rPr>
          <w:spacing w:val="5"/>
        </w:rPr>
        <w:t>一、部门职责</w:t>
      </w:r>
    </w:p>
    <w:p w14:paraId="2F6A4270">
      <w:pPr>
        <w:pStyle w:val="2"/>
        <w:spacing w:before="243" w:line="226" w:lineRule="auto"/>
        <w:ind w:left="45"/>
      </w:pPr>
      <w:r>
        <w:rPr>
          <w:spacing w:val="7"/>
        </w:rPr>
        <w:t>二、机构设置及部门决算单位构成</w:t>
      </w:r>
    </w:p>
    <w:p w14:paraId="43945EA8">
      <w:pPr>
        <w:pStyle w:val="2"/>
        <w:spacing w:before="244" w:line="227" w:lineRule="auto"/>
        <w:ind w:left="48"/>
        <w:outlineLvl w:val="1"/>
      </w:pPr>
      <w:r>
        <w:rPr>
          <w:b/>
          <w:bCs/>
          <w:spacing w:val="2"/>
        </w:rPr>
        <w:t>第二部分</w:t>
      </w:r>
      <w:r>
        <w:rPr>
          <w:rFonts w:hint="eastAsia" w:ascii="宋体" w:hAnsi="宋体" w:eastAsia="宋体" w:cs="宋体"/>
          <w:b/>
          <w:bCs/>
          <w:spacing w:val="2"/>
          <w:lang w:eastAsia="zh-CN"/>
        </w:rPr>
        <w:t>2025</w:t>
      </w:r>
      <w:r>
        <w:rPr>
          <w:b/>
          <w:bCs/>
          <w:spacing w:val="2"/>
        </w:rPr>
        <w:t>年度部门决算表</w:t>
      </w:r>
    </w:p>
    <w:p w14:paraId="79AD454D">
      <w:pPr>
        <w:pStyle w:val="2"/>
        <w:spacing w:before="243" w:line="227" w:lineRule="auto"/>
        <w:ind w:left="40"/>
      </w:pPr>
      <w:r>
        <w:rPr>
          <w:spacing w:val="7"/>
        </w:rPr>
        <w:t>一、收入支出决算总表</w:t>
      </w:r>
    </w:p>
    <w:p w14:paraId="48C01133">
      <w:pPr>
        <w:pStyle w:val="2"/>
        <w:spacing w:before="243" w:line="227" w:lineRule="auto"/>
        <w:ind w:left="45"/>
      </w:pPr>
      <w:r>
        <w:rPr>
          <w:spacing w:val="5"/>
        </w:rPr>
        <w:t>二、收入决算表</w:t>
      </w:r>
    </w:p>
    <w:p w14:paraId="0E07B7F0">
      <w:pPr>
        <w:pStyle w:val="2"/>
        <w:spacing w:before="243" w:line="227" w:lineRule="auto"/>
        <w:ind w:left="44"/>
      </w:pPr>
      <w:r>
        <w:rPr>
          <w:spacing w:val="5"/>
        </w:rPr>
        <w:t>三、支出决算表</w:t>
      </w:r>
    </w:p>
    <w:p w14:paraId="24AF38E0">
      <w:pPr>
        <w:pStyle w:val="2"/>
        <w:spacing w:before="242" w:line="227" w:lineRule="auto"/>
        <w:ind w:left="72"/>
      </w:pPr>
      <w:r>
        <w:rPr>
          <w:spacing w:val="5"/>
        </w:rPr>
        <w:t>四、财政拨款收入支出决算总表</w:t>
      </w:r>
    </w:p>
    <w:p w14:paraId="096074B9">
      <w:pPr>
        <w:pStyle w:val="2"/>
        <w:spacing w:before="243" w:line="227" w:lineRule="auto"/>
        <w:ind w:left="40"/>
      </w:pPr>
      <w:r>
        <w:rPr>
          <w:spacing w:val="8"/>
        </w:rPr>
        <w:t>五、一般公共预算财政拨款支出决算表</w:t>
      </w:r>
    </w:p>
    <w:p w14:paraId="1A71A321">
      <w:pPr>
        <w:pStyle w:val="2"/>
        <w:spacing w:before="243" w:line="227" w:lineRule="auto"/>
        <w:ind w:left="37"/>
      </w:pPr>
      <w:r>
        <w:rPr>
          <w:spacing w:val="8"/>
        </w:rPr>
        <w:t>六、一般公共预算财政拨款基本支出决算明细表</w:t>
      </w:r>
    </w:p>
    <w:p w14:paraId="59ADA928">
      <w:pPr>
        <w:pStyle w:val="2"/>
        <w:spacing w:before="242" w:line="226" w:lineRule="auto"/>
        <w:ind w:left="41"/>
      </w:pPr>
      <w:r>
        <w:rPr>
          <w:spacing w:val="8"/>
        </w:rPr>
        <w:t>七、政府性基金预算财政拨款收入支出决算表</w:t>
      </w:r>
    </w:p>
    <w:p w14:paraId="0E1808E4">
      <w:pPr>
        <w:pStyle w:val="2"/>
        <w:spacing w:before="245" w:line="227" w:lineRule="auto"/>
        <w:ind w:left="34"/>
      </w:pPr>
      <w:r>
        <w:rPr>
          <w:spacing w:val="5"/>
        </w:rPr>
        <w:t>八、国有资本经营预算财政拨款支出决算表</w:t>
      </w:r>
    </w:p>
    <w:p w14:paraId="5AD5A998">
      <w:pPr>
        <w:pStyle w:val="2"/>
        <w:spacing w:before="243" w:line="227" w:lineRule="auto"/>
        <w:ind w:left="46"/>
      </w:pPr>
      <w:r>
        <w:rPr>
          <w:spacing w:val="5"/>
        </w:rPr>
        <w:t>九、财政拨款“三公”经费支出决算表</w:t>
      </w:r>
    </w:p>
    <w:p w14:paraId="460CA4C4">
      <w:pPr>
        <w:pStyle w:val="2"/>
        <w:spacing w:before="243" w:line="227" w:lineRule="auto"/>
        <w:ind w:left="44"/>
      </w:pPr>
      <w:r>
        <w:rPr>
          <w:spacing w:val="7"/>
        </w:rPr>
        <w:t>十、部门预算项目支出绩效自评表</w:t>
      </w:r>
    </w:p>
    <w:p w14:paraId="2DA2472D">
      <w:pPr>
        <w:pStyle w:val="2"/>
        <w:spacing w:before="243" w:line="227" w:lineRule="auto"/>
        <w:ind w:left="48"/>
        <w:outlineLvl w:val="1"/>
      </w:pPr>
      <w:r>
        <w:rPr>
          <w:b/>
          <w:bCs/>
          <w:spacing w:val="3"/>
        </w:rPr>
        <w:t>第三部分</w:t>
      </w:r>
      <w:r>
        <w:rPr>
          <w:rFonts w:hint="eastAsia" w:ascii="宋体" w:hAnsi="宋体" w:eastAsia="宋体" w:cs="宋体"/>
          <w:b/>
          <w:bCs/>
          <w:spacing w:val="3"/>
          <w:lang w:eastAsia="zh-CN"/>
        </w:rPr>
        <w:t>2025</w:t>
      </w:r>
      <w:r>
        <w:rPr>
          <w:b/>
          <w:bCs/>
          <w:spacing w:val="3"/>
        </w:rPr>
        <w:t>年度部门决算情况说明</w:t>
      </w:r>
    </w:p>
    <w:p w14:paraId="253F8DE5">
      <w:pPr>
        <w:pStyle w:val="2"/>
        <w:spacing w:before="243" w:line="227" w:lineRule="auto"/>
        <w:ind w:left="40"/>
      </w:pPr>
      <w:r>
        <w:rPr>
          <w:spacing w:val="7"/>
        </w:rPr>
        <w:t>一、收入支出决算总体情况说明</w:t>
      </w:r>
    </w:p>
    <w:p w14:paraId="3F4B7222">
      <w:pPr>
        <w:pStyle w:val="2"/>
        <w:spacing w:before="243" w:line="227" w:lineRule="auto"/>
        <w:ind w:left="45"/>
      </w:pPr>
      <w:r>
        <w:rPr>
          <w:spacing w:val="6"/>
        </w:rPr>
        <w:t>二、收入决算情况说明</w:t>
      </w:r>
    </w:p>
    <w:p w14:paraId="5C752996">
      <w:pPr>
        <w:pStyle w:val="2"/>
        <w:spacing w:before="242" w:line="227" w:lineRule="auto"/>
        <w:ind w:left="44"/>
      </w:pPr>
      <w:r>
        <w:rPr>
          <w:spacing w:val="6"/>
        </w:rPr>
        <w:t>三、支出决算情况说明</w:t>
      </w:r>
    </w:p>
    <w:p w14:paraId="3E16F019">
      <w:pPr>
        <w:pStyle w:val="2"/>
        <w:spacing w:before="243" w:line="227" w:lineRule="auto"/>
        <w:ind w:left="72"/>
      </w:pPr>
      <w:r>
        <w:rPr>
          <w:spacing w:val="6"/>
        </w:rPr>
        <w:t>四、财政拨款收入支出决算总体情况说明</w:t>
      </w:r>
    </w:p>
    <w:p w14:paraId="7214E143">
      <w:pPr>
        <w:spacing w:line="227" w:lineRule="auto"/>
        <w:sectPr>
          <w:headerReference r:id="rId5" w:type="default"/>
          <w:footerReference r:id="rId6" w:type="default"/>
          <w:pgSz w:w="11906" w:h="16839"/>
          <w:pgMar w:top="1440" w:right="1800" w:bottom="1440" w:left="1800" w:header="0" w:footer="960" w:gutter="0"/>
          <w:pgNumType w:fmt="decimal"/>
          <w:cols w:space="720" w:num="1"/>
        </w:sectPr>
      </w:pPr>
    </w:p>
    <w:p w14:paraId="1BF71AAC">
      <w:pPr>
        <w:spacing w:line="271" w:lineRule="auto"/>
        <w:rPr>
          <w:rFonts w:ascii="Arial"/>
          <w:sz w:val="21"/>
        </w:rPr>
      </w:pPr>
    </w:p>
    <w:p w14:paraId="1AA07473">
      <w:pPr>
        <w:spacing w:line="271" w:lineRule="auto"/>
        <w:rPr>
          <w:rFonts w:ascii="Arial"/>
          <w:sz w:val="21"/>
        </w:rPr>
      </w:pPr>
    </w:p>
    <w:p w14:paraId="1C64E099">
      <w:pPr>
        <w:spacing w:line="272" w:lineRule="auto"/>
        <w:rPr>
          <w:rFonts w:ascii="Arial"/>
          <w:sz w:val="21"/>
        </w:rPr>
      </w:pPr>
    </w:p>
    <w:p w14:paraId="4B972132">
      <w:pPr>
        <w:spacing w:line="272" w:lineRule="auto"/>
        <w:rPr>
          <w:rFonts w:ascii="Arial"/>
          <w:sz w:val="21"/>
        </w:rPr>
      </w:pPr>
    </w:p>
    <w:p w14:paraId="5E90DA5C">
      <w:pPr>
        <w:pStyle w:val="2"/>
        <w:spacing w:before="101" w:line="227" w:lineRule="auto"/>
        <w:ind w:left="40"/>
      </w:pPr>
      <w:r>
        <w:rPr>
          <w:spacing w:val="8"/>
        </w:rPr>
        <w:t>五、一般公共预算财政拨款支出决算情况说明</w:t>
      </w:r>
    </w:p>
    <w:p w14:paraId="6D48E14C">
      <w:pPr>
        <w:pStyle w:val="2"/>
        <w:spacing w:before="242" w:line="227" w:lineRule="auto"/>
        <w:ind w:left="37"/>
      </w:pPr>
      <w:r>
        <w:rPr>
          <w:spacing w:val="8"/>
        </w:rPr>
        <w:t>六、一般公共预算财政拨款基本支出决算情况说明</w:t>
      </w:r>
    </w:p>
    <w:p w14:paraId="141FA3AF">
      <w:pPr>
        <w:pStyle w:val="2"/>
        <w:spacing w:before="242" w:line="226" w:lineRule="auto"/>
        <w:ind w:left="41"/>
      </w:pPr>
      <w:r>
        <w:rPr>
          <w:spacing w:val="8"/>
        </w:rPr>
        <w:t>七、政府性基金预算财政拨款收入支出决算情况说明</w:t>
      </w:r>
    </w:p>
    <w:p w14:paraId="568DC35D">
      <w:pPr>
        <w:pStyle w:val="2"/>
        <w:spacing w:before="245" w:line="227" w:lineRule="auto"/>
        <w:ind w:left="34"/>
      </w:pPr>
      <w:r>
        <w:rPr>
          <w:spacing w:val="6"/>
        </w:rPr>
        <w:t>八、国有资本经营预算财政拨款支出决算情况说明</w:t>
      </w:r>
    </w:p>
    <w:p w14:paraId="57BCC1C5">
      <w:pPr>
        <w:pStyle w:val="2"/>
        <w:spacing w:before="242" w:line="227" w:lineRule="auto"/>
        <w:ind w:left="46"/>
      </w:pPr>
      <w:r>
        <w:rPr>
          <w:spacing w:val="6"/>
        </w:rPr>
        <w:t>九、财政拨款“三公”经费支出决算情况说明</w:t>
      </w:r>
    </w:p>
    <w:p w14:paraId="7E0AE5E2">
      <w:pPr>
        <w:pStyle w:val="2"/>
        <w:spacing w:before="242" w:line="228" w:lineRule="auto"/>
        <w:ind w:left="44"/>
      </w:pPr>
      <w:r>
        <w:rPr>
          <w:spacing w:val="6"/>
        </w:rPr>
        <w:t>十、绩效评价情况说明</w:t>
      </w:r>
    </w:p>
    <w:p w14:paraId="7CCF6209">
      <w:pPr>
        <w:pStyle w:val="2"/>
        <w:spacing w:before="242" w:line="227" w:lineRule="auto"/>
        <w:ind w:left="44"/>
      </w:pPr>
      <w:r>
        <w:rPr>
          <w:spacing w:val="7"/>
        </w:rPr>
        <w:t>十一、其他重要事项情况说明</w:t>
      </w:r>
    </w:p>
    <w:p w14:paraId="4DA297A9">
      <w:pPr>
        <w:pStyle w:val="2"/>
        <w:spacing w:before="242" w:line="228" w:lineRule="auto"/>
        <w:ind w:left="48"/>
      </w:pPr>
      <w:r>
        <w:rPr>
          <w:b/>
          <w:bCs/>
        </w:rPr>
        <w:t>第四部分名词解释</w:t>
      </w:r>
    </w:p>
    <w:p w14:paraId="20FFD082">
      <w:pPr>
        <w:spacing w:line="228" w:lineRule="auto"/>
        <w:sectPr>
          <w:footerReference r:id="rId7" w:type="default"/>
          <w:pgSz w:w="11906" w:h="16839"/>
          <w:pgMar w:top="1587" w:right="2098" w:bottom="1587" w:left="2098" w:header="0" w:footer="960" w:gutter="0"/>
          <w:pgNumType w:fmt="decimal"/>
          <w:cols w:space="720" w:num="1"/>
        </w:sectPr>
      </w:pPr>
    </w:p>
    <w:p w14:paraId="70A17B1F">
      <w:pPr>
        <w:spacing w:before="188" w:line="446" w:lineRule="exact"/>
        <w:ind w:left="2214"/>
        <w:outlineLvl w:val="0"/>
        <w:rPr>
          <w:rFonts w:ascii="微软雅黑" w:hAnsi="微软雅黑" w:eastAsia="微软雅黑" w:cs="微软雅黑"/>
          <w:sz w:val="44"/>
          <w:szCs w:val="44"/>
        </w:rPr>
      </w:pPr>
      <w:r>
        <w:rPr>
          <w:rFonts w:ascii="微软雅黑" w:hAnsi="微软雅黑" w:eastAsia="微软雅黑" w:cs="微软雅黑"/>
          <w:position w:val="-2"/>
          <w:sz w:val="44"/>
          <w:szCs w:val="44"/>
        </w:rPr>
        <w:t>第一部分部门概况</w:t>
      </w:r>
    </w:p>
    <w:p w14:paraId="3DF732D3">
      <w:pPr>
        <w:spacing w:line="313" w:lineRule="auto"/>
        <w:rPr>
          <w:rFonts w:ascii="Arial"/>
          <w:sz w:val="21"/>
        </w:rPr>
      </w:pPr>
    </w:p>
    <w:p w14:paraId="1C00D25D">
      <w:pPr>
        <w:spacing w:line="313" w:lineRule="auto"/>
        <w:rPr>
          <w:rFonts w:ascii="Arial"/>
          <w:sz w:val="21"/>
        </w:rPr>
      </w:pPr>
    </w:p>
    <w:p w14:paraId="279D2C33">
      <w:pPr>
        <w:spacing w:line="313" w:lineRule="auto"/>
        <w:rPr>
          <w:rFonts w:ascii="Arial"/>
          <w:sz w:val="21"/>
        </w:rPr>
      </w:pPr>
    </w:p>
    <w:p w14:paraId="39603366">
      <w:pPr>
        <w:spacing w:before="100" w:line="226" w:lineRule="auto"/>
        <w:ind w:left="751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7"/>
          <w:sz w:val="31"/>
          <w:szCs w:val="31"/>
        </w:rPr>
        <w:t>一、部门主要职责</w:t>
      </w:r>
    </w:p>
    <w:p w14:paraId="00248929">
      <w:pPr>
        <w:pStyle w:val="2"/>
        <w:spacing w:before="263" w:line="326" w:lineRule="auto"/>
        <w:ind w:left="36" w:right="84" w:firstLine="640"/>
      </w:pPr>
      <w:r>
        <w:rPr>
          <w:spacing w:val="8"/>
        </w:rPr>
        <w:t>来访接待科负责接待本区人民群众和境外人士的来访，处理集体上访和参与处置群体性突发事件，协调处理地方、部门的重大集体上访及疑难上访问题，配合有关部门依法维</w:t>
      </w:r>
      <w:r>
        <w:rPr>
          <w:spacing w:val="4"/>
        </w:rPr>
        <w:t>持上访秩序；</w:t>
      </w:r>
    </w:p>
    <w:p w14:paraId="02876414">
      <w:pPr>
        <w:pStyle w:val="2"/>
        <w:spacing w:before="55" w:line="327" w:lineRule="auto"/>
        <w:ind w:left="36" w:right="84" w:firstLine="640"/>
        <w:jc w:val="both"/>
      </w:pPr>
      <w:r>
        <w:rPr>
          <w:spacing w:val="8"/>
        </w:rPr>
        <w:t>案件督办科负责督促检查全区各乡镇、街道、各部门承办的重要信访案件处理落实情况，并进行业务指导，直接查办重要信访案件和领导批示的信访案件；向各乡镇、街道和</w:t>
      </w:r>
      <w:r>
        <w:rPr>
          <w:spacing w:val="21"/>
        </w:rPr>
        <w:t>各部门通报案件的处理情况及领导临时交办的其它信访事</w:t>
      </w:r>
      <w:r>
        <w:rPr>
          <w:spacing w:val="-7"/>
        </w:rPr>
        <w:t>项。</w:t>
      </w:r>
    </w:p>
    <w:p w14:paraId="3BC8455C">
      <w:pPr>
        <w:pStyle w:val="2"/>
        <w:spacing w:before="49" w:line="330" w:lineRule="auto"/>
        <w:ind w:left="35" w:firstLine="640"/>
        <w:jc w:val="both"/>
      </w:pPr>
      <w:r>
        <w:rPr>
          <w:spacing w:val="8"/>
        </w:rPr>
        <w:t>领导专办科负责受理人民群众、法人和其他组织及境内外人士给区委、区政府的来信及国家信访局、省信访局和市</w:t>
      </w:r>
      <w:r>
        <w:t>信访局转来的信件，向有关地方、部门交办来信反映的间</w:t>
      </w:r>
      <w:r>
        <w:rPr>
          <w:spacing w:val="-1"/>
        </w:rPr>
        <w:t>题；</w:t>
      </w:r>
      <w:r>
        <w:rPr>
          <w:spacing w:val="8"/>
        </w:rPr>
        <w:t>受理人民群众给区委、区政府领导的来信和批示信件，向有关地方、部门交办批示信件反映的信访问题，负责协调督促落实，并及时报告有关批示和信访事项的落实情况；调查办理重要信件和领导批示的信件；负责区信访工作联席会议办公室日常工作；负责协调、督办区信访工作联席会议召集人</w:t>
      </w:r>
      <w:r>
        <w:rPr>
          <w:spacing w:val="7"/>
        </w:rPr>
        <w:t>交办和批示的信访事项。</w:t>
      </w:r>
    </w:p>
    <w:p w14:paraId="74DE1F1C">
      <w:pPr>
        <w:spacing w:line="330" w:lineRule="auto"/>
        <w:sectPr>
          <w:footerReference r:id="rId8" w:type="default"/>
          <w:pgSz w:w="11906" w:h="16839"/>
          <w:pgMar w:top="1440" w:right="1800" w:bottom="1440" w:left="1800" w:header="0" w:footer="960" w:gutter="0"/>
          <w:pgNumType w:fmt="decimal"/>
          <w:cols w:space="720" w:num="1"/>
        </w:sectPr>
      </w:pPr>
    </w:p>
    <w:p w14:paraId="07B96C87">
      <w:pPr>
        <w:spacing w:before="101" w:line="227" w:lineRule="auto"/>
        <w:ind w:left="672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8"/>
          <w:sz w:val="31"/>
          <w:szCs w:val="31"/>
        </w:rPr>
        <w:t>二、机构设置及部门决算单位构成</w:t>
      </w:r>
    </w:p>
    <w:p w14:paraId="78484ECD">
      <w:pPr>
        <w:spacing w:line="253" w:lineRule="auto"/>
        <w:rPr>
          <w:rFonts w:ascii="Arial"/>
          <w:sz w:val="21"/>
        </w:rPr>
      </w:pPr>
    </w:p>
    <w:p w14:paraId="3A8BADB3">
      <w:pPr>
        <w:spacing w:line="253" w:lineRule="auto"/>
        <w:rPr>
          <w:rFonts w:ascii="Arial"/>
          <w:sz w:val="21"/>
        </w:rPr>
      </w:pPr>
    </w:p>
    <w:p w14:paraId="6D457BA8">
      <w:pPr>
        <w:pStyle w:val="2"/>
        <w:spacing w:before="101" w:line="364" w:lineRule="auto"/>
        <w:ind w:left="34" w:right="13" w:firstLine="643"/>
        <w:jc w:val="both"/>
      </w:pPr>
      <w:r>
        <w:rPr>
          <w:spacing w:val="14"/>
        </w:rPr>
        <w:t>根据上述职责，通化市东昌区信访局本级内设</w:t>
      </w:r>
      <w:r>
        <w:rPr>
          <w:spacing w:val="14"/>
          <w:u w:val="single" w:color="auto"/>
        </w:rPr>
        <w:t>3</w:t>
      </w:r>
      <w:r>
        <w:rPr>
          <w:spacing w:val="14"/>
        </w:rPr>
        <w:t>个机</w:t>
      </w:r>
      <w:r>
        <w:rPr>
          <w:spacing w:val="8"/>
        </w:rPr>
        <w:t>构，分别为来访接待科、案件督导科、领导专办科。纳入通</w:t>
      </w:r>
      <w:r>
        <w:rPr>
          <w:spacing w:val="12"/>
        </w:rPr>
        <w:t>化市东昌区信访局本级</w:t>
      </w:r>
      <w:r>
        <w:rPr>
          <w:rFonts w:hint="eastAsia"/>
          <w:spacing w:val="12"/>
          <w:lang w:eastAsia="zh-CN"/>
        </w:rPr>
        <w:t>2025</w:t>
      </w:r>
      <w:r>
        <w:rPr>
          <w:spacing w:val="12"/>
        </w:rPr>
        <w:t>年度部门决算编</w:t>
      </w:r>
      <w:r>
        <w:rPr>
          <w:spacing w:val="11"/>
        </w:rPr>
        <w:t>制范围的单位</w:t>
      </w:r>
      <w:r>
        <w:rPr>
          <w:spacing w:val="7"/>
        </w:rPr>
        <w:t>包括：通化市东昌区信访局本级。</w:t>
      </w:r>
    </w:p>
    <w:p w14:paraId="752D7A85">
      <w:pPr>
        <w:spacing w:line="241" w:lineRule="auto"/>
        <w:rPr>
          <w:rFonts w:ascii="Arial"/>
          <w:sz w:val="21"/>
        </w:rPr>
      </w:pPr>
    </w:p>
    <w:p w14:paraId="3C5D02D9">
      <w:pPr>
        <w:spacing w:line="241" w:lineRule="auto"/>
        <w:rPr>
          <w:rFonts w:ascii="Arial"/>
          <w:sz w:val="21"/>
        </w:rPr>
      </w:pPr>
    </w:p>
    <w:p w14:paraId="645EEAAD">
      <w:pPr>
        <w:spacing w:line="241" w:lineRule="auto"/>
        <w:rPr>
          <w:rFonts w:ascii="Arial"/>
          <w:sz w:val="21"/>
        </w:rPr>
      </w:pPr>
    </w:p>
    <w:p w14:paraId="5A1086C1">
      <w:pPr>
        <w:spacing w:line="241" w:lineRule="auto"/>
        <w:rPr>
          <w:rFonts w:ascii="Arial"/>
          <w:sz w:val="21"/>
        </w:rPr>
      </w:pPr>
    </w:p>
    <w:p w14:paraId="7B9F7480">
      <w:pPr>
        <w:spacing w:line="241" w:lineRule="auto"/>
        <w:rPr>
          <w:rFonts w:ascii="Arial"/>
          <w:sz w:val="21"/>
        </w:rPr>
      </w:pPr>
    </w:p>
    <w:p w14:paraId="51E271A2">
      <w:pPr>
        <w:spacing w:line="241" w:lineRule="auto"/>
        <w:rPr>
          <w:rFonts w:ascii="Arial"/>
          <w:sz w:val="21"/>
        </w:rPr>
      </w:pPr>
    </w:p>
    <w:p w14:paraId="44489BF2">
      <w:pPr>
        <w:spacing w:line="241" w:lineRule="auto"/>
        <w:rPr>
          <w:rFonts w:ascii="Arial"/>
          <w:sz w:val="21"/>
        </w:rPr>
      </w:pPr>
    </w:p>
    <w:p w14:paraId="6D26BDF7">
      <w:pPr>
        <w:spacing w:line="241" w:lineRule="auto"/>
        <w:rPr>
          <w:rFonts w:ascii="Arial"/>
          <w:sz w:val="21"/>
        </w:rPr>
      </w:pPr>
    </w:p>
    <w:p w14:paraId="105736BC">
      <w:pPr>
        <w:spacing w:line="241" w:lineRule="auto"/>
        <w:rPr>
          <w:rFonts w:ascii="Arial"/>
          <w:sz w:val="21"/>
        </w:rPr>
      </w:pPr>
    </w:p>
    <w:p w14:paraId="70F902C0">
      <w:pPr>
        <w:spacing w:line="241" w:lineRule="auto"/>
        <w:rPr>
          <w:rFonts w:ascii="Arial"/>
          <w:sz w:val="21"/>
        </w:rPr>
      </w:pPr>
    </w:p>
    <w:p w14:paraId="79A844C8">
      <w:pPr>
        <w:spacing w:line="241" w:lineRule="auto"/>
        <w:rPr>
          <w:rFonts w:ascii="Arial"/>
          <w:sz w:val="21"/>
        </w:rPr>
      </w:pPr>
    </w:p>
    <w:p w14:paraId="5C440E93">
      <w:pPr>
        <w:spacing w:line="241" w:lineRule="auto"/>
        <w:rPr>
          <w:rFonts w:ascii="Arial"/>
          <w:sz w:val="21"/>
        </w:rPr>
      </w:pPr>
    </w:p>
    <w:p w14:paraId="180BCF7A">
      <w:pPr>
        <w:spacing w:line="242" w:lineRule="auto"/>
        <w:rPr>
          <w:rFonts w:ascii="Arial"/>
          <w:sz w:val="21"/>
        </w:rPr>
      </w:pPr>
    </w:p>
    <w:p w14:paraId="1A76A73D">
      <w:pPr>
        <w:spacing w:line="242" w:lineRule="auto"/>
        <w:rPr>
          <w:rFonts w:ascii="Arial"/>
          <w:sz w:val="21"/>
        </w:rPr>
      </w:pPr>
    </w:p>
    <w:p w14:paraId="58F62E4F">
      <w:pPr>
        <w:spacing w:line="242" w:lineRule="auto"/>
        <w:rPr>
          <w:rFonts w:ascii="Arial"/>
          <w:sz w:val="21"/>
        </w:rPr>
      </w:pPr>
    </w:p>
    <w:p w14:paraId="2EEF4991">
      <w:pPr>
        <w:spacing w:line="242" w:lineRule="auto"/>
        <w:rPr>
          <w:rFonts w:ascii="Arial"/>
          <w:sz w:val="21"/>
        </w:rPr>
      </w:pPr>
    </w:p>
    <w:p w14:paraId="5AF47BAF">
      <w:pPr>
        <w:spacing w:line="242" w:lineRule="auto"/>
        <w:rPr>
          <w:rFonts w:ascii="Arial"/>
          <w:sz w:val="21"/>
        </w:rPr>
      </w:pPr>
    </w:p>
    <w:p w14:paraId="3B51CB67">
      <w:pPr>
        <w:spacing w:line="242" w:lineRule="auto"/>
        <w:rPr>
          <w:rFonts w:ascii="Arial"/>
          <w:sz w:val="21"/>
        </w:rPr>
      </w:pPr>
    </w:p>
    <w:p w14:paraId="5B437BFC">
      <w:pPr>
        <w:spacing w:line="242" w:lineRule="auto"/>
        <w:rPr>
          <w:rFonts w:ascii="Arial"/>
          <w:sz w:val="21"/>
        </w:rPr>
      </w:pPr>
    </w:p>
    <w:p w14:paraId="46D64EF2">
      <w:pPr>
        <w:spacing w:line="242" w:lineRule="auto"/>
        <w:rPr>
          <w:rFonts w:ascii="Arial"/>
          <w:sz w:val="21"/>
        </w:rPr>
      </w:pPr>
    </w:p>
    <w:p w14:paraId="76BCBE55">
      <w:pPr>
        <w:spacing w:line="242" w:lineRule="auto"/>
        <w:rPr>
          <w:rFonts w:ascii="Arial"/>
          <w:sz w:val="21"/>
        </w:rPr>
      </w:pPr>
    </w:p>
    <w:p w14:paraId="64EA1BB3">
      <w:pPr>
        <w:spacing w:line="242" w:lineRule="auto"/>
        <w:rPr>
          <w:rFonts w:ascii="Arial"/>
          <w:sz w:val="21"/>
        </w:rPr>
      </w:pPr>
    </w:p>
    <w:p w14:paraId="0889533A">
      <w:pPr>
        <w:spacing w:line="242" w:lineRule="auto"/>
        <w:rPr>
          <w:rFonts w:ascii="Arial"/>
          <w:sz w:val="21"/>
        </w:rPr>
      </w:pPr>
    </w:p>
    <w:p w14:paraId="33D225E9">
      <w:pPr>
        <w:spacing w:line="242" w:lineRule="auto"/>
        <w:rPr>
          <w:rFonts w:ascii="Arial"/>
          <w:sz w:val="21"/>
        </w:rPr>
      </w:pPr>
    </w:p>
    <w:p w14:paraId="4075C4A6">
      <w:pPr>
        <w:spacing w:line="242" w:lineRule="auto"/>
        <w:rPr>
          <w:rFonts w:ascii="Arial"/>
          <w:sz w:val="21"/>
        </w:rPr>
      </w:pPr>
    </w:p>
    <w:p w14:paraId="7468F5E3">
      <w:pPr>
        <w:spacing w:line="242" w:lineRule="auto"/>
        <w:rPr>
          <w:rFonts w:ascii="Arial"/>
          <w:sz w:val="21"/>
        </w:rPr>
      </w:pPr>
    </w:p>
    <w:p w14:paraId="23DCFEAE">
      <w:pPr>
        <w:spacing w:line="242" w:lineRule="auto"/>
        <w:rPr>
          <w:rFonts w:ascii="Arial"/>
          <w:sz w:val="21"/>
        </w:rPr>
      </w:pPr>
    </w:p>
    <w:p w14:paraId="12BE8342">
      <w:pPr>
        <w:spacing w:line="242" w:lineRule="auto"/>
        <w:rPr>
          <w:rFonts w:ascii="Arial"/>
          <w:sz w:val="21"/>
        </w:rPr>
      </w:pPr>
    </w:p>
    <w:p w14:paraId="6A2A3118">
      <w:pPr>
        <w:spacing w:line="242" w:lineRule="auto"/>
        <w:rPr>
          <w:rFonts w:ascii="Arial"/>
          <w:sz w:val="21"/>
        </w:rPr>
      </w:pPr>
    </w:p>
    <w:p w14:paraId="15E939AB">
      <w:pPr>
        <w:spacing w:line="242" w:lineRule="auto"/>
        <w:rPr>
          <w:rFonts w:ascii="Arial"/>
          <w:sz w:val="21"/>
        </w:rPr>
      </w:pPr>
    </w:p>
    <w:p w14:paraId="4F481AA7">
      <w:pPr>
        <w:spacing w:line="242" w:lineRule="auto"/>
        <w:rPr>
          <w:rFonts w:ascii="Arial"/>
          <w:sz w:val="21"/>
        </w:rPr>
      </w:pPr>
    </w:p>
    <w:p w14:paraId="2DBB409E">
      <w:pPr>
        <w:spacing w:line="242" w:lineRule="auto"/>
        <w:rPr>
          <w:rFonts w:ascii="Arial"/>
          <w:sz w:val="21"/>
        </w:rPr>
      </w:pPr>
    </w:p>
    <w:p w14:paraId="3A468B23">
      <w:pPr>
        <w:spacing w:line="242" w:lineRule="auto"/>
        <w:rPr>
          <w:rFonts w:ascii="Arial"/>
          <w:sz w:val="21"/>
        </w:rPr>
      </w:pPr>
    </w:p>
    <w:p w14:paraId="37046840">
      <w:pPr>
        <w:spacing w:line="242" w:lineRule="auto"/>
        <w:rPr>
          <w:rFonts w:ascii="Arial"/>
          <w:sz w:val="21"/>
        </w:rPr>
      </w:pPr>
    </w:p>
    <w:p w14:paraId="2B62BAED">
      <w:pPr>
        <w:spacing w:line="242" w:lineRule="auto"/>
        <w:rPr>
          <w:rFonts w:ascii="Arial"/>
          <w:sz w:val="21"/>
        </w:rPr>
      </w:pPr>
    </w:p>
    <w:p w14:paraId="7C0763C1">
      <w:pPr>
        <w:spacing w:line="242" w:lineRule="auto"/>
        <w:rPr>
          <w:rFonts w:ascii="Arial"/>
          <w:sz w:val="21"/>
        </w:rPr>
      </w:pPr>
    </w:p>
    <w:p w14:paraId="34AD3B3B">
      <w:pPr>
        <w:spacing w:line="242" w:lineRule="auto"/>
        <w:rPr>
          <w:rFonts w:ascii="Arial"/>
          <w:sz w:val="21"/>
        </w:rPr>
      </w:pPr>
    </w:p>
    <w:p w14:paraId="5DF31D76">
      <w:pPr>
        <w:spacing w:line="242" w:lineRule="auto"/>
        <w:rPr>
          <w:rFonts w:ascii="Arial"/>
          <w:sz w:val="21"/>
        </w:rPr>
      </w:pPr>
    </w:p>
    <w:p w14:paraId="69257182">
      <w:pPr>
        <w:spacing w:line="242" w:lineRule="auto"/>
        <w:rPr>
          <w:rFonts w:ascii="Arial"/>
          <w:sz w:val="21"/>
        </w:rPr>
      </w:pPr>
    </w:p>
    <w:p w14:paraId="1155D61E">
      <w:pPr>
        <w:spacing w:line="242" w:lineRule="auto"/>
        <w:rPr>
          <w:rFonts w:ascii="Arial"/>
          <w:sz w:val="21"/>
        </w:rPr>
      </w:pPr>
    </w:p>
    <w:p w14:paraId="7AC44740">
      <w:pPr>
        <w:spacing w:line="268" w:lineRule="auto"/>
        <w:rPr>
          <w:rFonts w:ascii="Arial"/>
          <w:sz w:val="21"/>
        </w:rPr>
      </w:pPr>
    </w:p>
    <w:p w14:paraId="72CD86F0">
      <w:pPr>
        <w:spacing w:before="184" w:line="190" w:lineRule="auto"/>
        <w:ind w:left="1142"/>
        <w:rPr>
          <w:rFonts w:ascii="微软雅黑" w:hAnsi="微软雅黑" w:eastAsia="微软雅黑" w:cs="微软雅黑"/>
          <w:sz w:val="43"/>
          <w:szCs w:val="43"/>
        </w:rPr>
      </w:pPr>
      <w:r>
        <w:rPr>
          <w:rFonts w:ascii="微软雅黑" w:hAnsi="微软雅黑" w:eastAsia="微软雅黑" w:cs="微软雅黑"/>
          <w:spacing w:val="7"/>
          <w:sz w:val="43"/>
          <w:szCs w:val="43"/>
        </w:rPr>
        <w:t>第二部分</w:t>
      </w:r>
      <w:r>
        <w:rPr>
          <w:rFonts w:hint="eastAsia" w:ascii="宋体" w:hAnsi="宋体" w:eastAsia="宋体" w:cs="宋体"/>
          <w:spacing w:val="7"/>
          <w:sz w:val="43"/>
          <w:szCs w:val="43"/>
          <w:lang w:eastAsia="zh-CN"/>
        </w:rPr>
        <w:t>2025</w:t>
      </w:r>
      <w:r>
        <w:rPr>
          <w:rFonts w:ascii="微软雅黑" w:hAnsi="微软雅黑" w:eastAsia="微软雅黑" w:cs="微软雅黑"/>
          <w:spacing w:val="7"/>
          <w:sz w:val="43"/>
          <w:szCs w:val="43"/>
        </w:rPr>
        <w:t>年度部门决算表</w:t>
      </w:r>
    </w:p>
    <w:p w14:paraId="46B0DFD2">
      <w:pPr>
        <w:spacing w:line="267" w:lineRule="auto"/>
        <w:rPr>
          <w:rFonts w:ascii="Arial"/>
          <w:sz w:val="21"/>
        </w:rPr>
      </w:pPr>
    </w:p>
    <w:p w14:paraId="67529CEF">
      <w:pPr>
        <w:spacing w:line="267" w:lineRule="auto"/>
        <w:rPr>
          <w:rFonts w:ascii="Arial"/>
          <w:sz w:val="21"/>
        </w:rPr>
      </w:pPr>
    </w:p>
    <w:p w14:paraId="5E5A2C43">
      <w:pPr>
        <w:spacing w:before="101" w:line="227" w:lineRule="auto"/>
        <w:ind w:left="25"/>
        <w:rPr>
          <w:rFonts w:ascii="黑体" w:hAnsi="黑体" w:eastAsia="黑体" w:cs="黑体"/>
          <w:sz w:val="31"/>
          <w:szCs w:val="31"/>
        </w:rPr>
      </w:pPr>
      <w:r>
        <w:rPr>
          <w:rFonts w:hint="eastAsia" w:ascii="黑体" w:hAnsi="黑体" w:eastAsia="黑体" w:cs="黑体"/>
          <w:spacing w:val="7"/>
          <w:sz w:val="31"/>
          <w:szCs w:val="31"/>
          <w:lang w:eastAsia="zh-CN"/>
        </w:rPr>
        <w:t>一</w:t>
      </w:r>
      <w:r>
        <w:rPr>
          <w:rFonts w:ascii="黑体" w:hAnsi="黑体" w:eastAsia="黑体" w:cs="黑体"/>
          <w:spacing w:val="7"/>
          <w:sz w:val="31"/>
          <w:szCs w:val="31"/>
        </w:rPr>
        <w:t>、</w:t>
      </w:r>
      <w:r>
        <w:rPr>
          <w:rFonts w:ascii="黑体" w:hAnsi="黑体" w:eastAsia="黑体" w:cs="黑体"/>
          <w:spacing w:val="8"/>
          <w:sz w:val="31"/>
          <w:szCs w:val="31"/>
        </w:rPr>
        <w:t>收入支出决算总表</w:t>
      </w:r>
    </w:p>
    <w:p w14:paraId="0595CAE7">
      <w:pPr>
        <w:spacing w:line="270" w:lineRule="auto"/>
        <w:rPr>
          <w:rFonts w:ascii="Arial"/>
          <w:sz w:val="21"/>
        </w:rPr>
      </w:pPr>
      <w: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17145</wp:posOffset>
            </wp:positionH>
            <wp:positionV relativeFrom="paragraph">
              <wp:posOffset>111760</wp:posOffset>
            </wp:positionV>
            <wp:extent cx="5290185" cy="3776980"/>
            <wp:effectExtent l="0" t="0" r="5715" b="7620"/>
            <wp:wrapSquare wrapText="bothSides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90185" cy="3776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AD75819">
      <w:pPr>
        <w:spacing w:line="270" w:lineRule="auto"/>
        <w:rPr>
          <w:rFonts w:ascii="Arial"/>
          <w:sz w:val="21"/>
        </w:rPr>
      </w:pPr>
    </w:p>
    <w:p w14:paraId="1EAC8009">
      <w:pPr>
        <w:spacing w:line="270" w:lineRule="auto"/>
        <w:rPr>
          <w:rFonts w:ascii="Arial"/>
          <w:sz w:val="21"/>
        </w:rPr>
      </w:pPr>
    </w:p>
    <w:p w14:paraId="28B62B8C">
      <w:pPr>
        <w:spacing w:line="270" w:lineRule="auto"/>
        <w:rPr>
          <w:rFonts w:ascii="Arial"/>
          <w:sz w:val="21"/>
        </w:rPr>
      </w:pPr>
    </w:p>
    <w:p w14:paraId="62712F53">
      <w:pPr>
        <w:spacing w:before="101" w:line="227" w:lineRule="auto"/>
        <w:ind w:left="31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7"/>
          <w:sz w:val="31"/>
          <w:szCs w:val="31"/>
        </w:rPr>
        <w:t>二、收入决算表</w:t>
      </w:r>
    </w:p>
    <w:p w14:paraId="29D340C8">
      <w:pPr>
        <w:spacing w:line="272" w:lineRule="auto"/>
        <w:rPr>
          <w:rFonts w:ascii="Arial"/>
          <w:sz w:val="21"/>
        </w:rPr>
      </w:pPr>
      <w: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-85725</wp:posOffset>
            </wp:positionH>
            <wp:positionV relativeFrom="paragraph">
              <wp:posOffset>71755</wp:posOffset>
            </wp:positionV>
            <wp:extent cx="5280660" cy="2386965"/>
            <wp:effectExtent l="0" t="0" r="0" b="0"/>
            <wp:wrapTight wrapText="bothSides">
              <wp:wrapPolygon>
                <wp:start x="0" y="0"/>
                <wp:lineTo x="0" y="21491"/>
                <wp:lineTo x="21558" y="21491"/>
                <wp:lineTo x="21558" y="0"/>
                <wp:lineTo x="0" y="0"/>
              </wp:wrapPolygon>
            </wp:wrapTight>
            <wp:docPr id="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2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80660" cy="2386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9B68833">
      <w:pPr>
        <w:spacing w:before="101" w:line="227" w:lineRule="auto"/>
        <w:ind w:left="32"/>
        <w:rPr>
          <w:rFonts w:ascii="黑体" w:hAnsi="黑体" w:eastAsia="黑体" w:cs="黑体"/>
          <w:spacing w:val="7"/>
          <w:sz w:val="31"/>
          <w:szCs w:val="31"/>
        </w:rPr>
      </w:pPr>
    </w:p>
    <w:p w14:paraId="4128A8C7">
      <w:pPr>
        <w:spacing w:before="101" w:line="227" w:lineRule="auto"/>
        <w:ind w:left="32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7"/>
          <w:sz w:val="31"/>
          <w:szCs w:val="31"/>
        </w:rPr>
        <w:t>三、支出决算表</w:t>
      </w:r>
    </w:p>
    <w:p w14:paraId="74098FE5">
      <w:pPr>
        <w:spacing w:line="260" w:lineRule="auto"/>
        <w:rPr>
          <w:rFonts w:ascii="Arial"/>
          <w:sz w:val="21"/>
        </w:rPr>
      </w:pPr>
      <w: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-360045</wp:posOffset>
            </wp:positionH>
            <wp:positionV relativeFrom="paragraph">
              <wp:posOffset>149225</wp:posOffset>
            </wp:positionV>
            <wp:extent cx="5840730" cy="2607945"/>
            <wp:effectExtent l="0" t="0" r="0" b="0"/>
            <wp:wrapTight wrapText="bothSides">
              <wp:wrapPolygon>
                <wp:start x="0" y="0"/>
                <wp:lineTo x="0" y="21458"/>
                <wp:lineTo x="21558" y="21458"/>
                <wp:lineTo x="21558" y="0"/>
                <wp:lineTo x="0" y="0"/>
              </wp:wrapPolygon>
            </wp:wrapTight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840730" cy="2607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F64C819">
      <w:pPr>
        <w:spacing w:before="228" w:line="227" w:lineRule="auto"/>
        <w:ind w:left="45"/>
        <w:rPr>
          <w:rFonts w:ascii="黑体" w:hAnsi="黑体" w:eastAsia="黑体" w:cs="黑体"/>
          <w:spacing w:val="7"/>
          <w:sz w:val="31"/>
          <w:szCs w:val="31"/>
        </w:rPr>
      </w:pPr>
    </w:p>
    <w:p w14:paraId="1750FFE7">
      <w:pPr>
        <w:spacing w:before="228" w:line="227" w:lineRule="auto"/>
        <w:ind w:left="45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7"/>
          <w:sz w:val="31"/>
          <w:szCs w:val="31"/>
        </w:rPr>
        <w:t>四、财政拨款收入支出决算总表</w:t>
      </w:r>
    </w:p>
    <w:p w14:paraId="1AD03D90">
      <w:pPr>
        <w:spacing w:line="355" w:lineRule="auto"/>
        <w:rPr>
          <w:rFonts w:ascii="Arial"/>
          <w:sz w:val="21"/>
        </w:rPr>
      </w:pPr>
      <w: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-307975</wp:posOffset>
            </wp:positionH>
            <wp:positionV relativeFrom="paragraph">
              <wp:posOffset>84455</wp:posOffset>
            </wp:positionV>
            <wp:extent cx="5996940" cy="3642995"/>
            <wp:effectExtent l="0" t="0" r="10160" b="1905"/>
            <wp:wrapTight wrapText="bothSides">
              <wp:wrapPolygon>
                <wp:start x="0" y="0"/>
                <wp:lineTo x="0" y="21536"/>
                <wp:lineTo x="21545" y="21536"/>
                <wp:lineTo x="21545" y="0"/>
                <wp:lineTo x="0" y="0"/>
              </wp:wrapPolygon>
            </wp:wrapTight>
            <wp:docPr id="5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4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96940" cy="3642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98A1A7D">
      <w:pPr>
        <w:spacing w:line="244" w:lineRule="auto"/>
        <w:rPr>
          <w:rFonts w:ascii="Arial"/>
          <w:sz w:val="21"/>
        </w:rPr>
      </w:pPr>
    </w:p>
    <w:p w14:paraId="3D6DEA84">
      <w:pPr>
        <w:spacing w:line="244" w:lineRule="auto"/>
        <w:rPr>
          <w:rFonts w:ascii="Arial"/>
          <w:sz w:val="21"/>
        </w:rPr>
      </w:pPr>
    </w:p>
    <w:p w14:paraId="659C7BBE">
      <w:pPr>
        <w:numPr>
          <w:ilvl w:val="0"/>
          <w:numId w:val="1"/>
        </w:numPr>
        <w:spacing w:before="101" w:line="226" w:lineRule="auto"/>
        <w:ind w:left="35"/>
        <w:rPr>
          <w:rFonts w:ascii="黑体" w:hAnsi="黑体" w:eastAsia="黑体" w:cs="黑体"/>
          <w:spacing w:val="8"/>
          <w:sz w:val="31"/>
          <w:szCs w:val="31"/>
        </w:rPr>
      </w:pPr>
      <w:r>
        <w:rPr>
          <w:rFonts w:ascii="黑体" w:hAnsi="黑体" w:eastAsia="黑体" w:cs="黑体"/>
          <w:spacing w:val="8"/>
          <w:sz w:val="31"/>
          <w:szCs w:val="31"/>
        </w:rPr>
        <w:t>一般公共预算财政拨款支出决算表</w:t>
      </w:r>
    </w:p>
    <w:p w14:paraId="71E865E0">
      <w:pPr>
        <w:numPr>
          <w:ilvl w:val="0"/>
          <w:numId w:val="0"/>
        </w:numPr>
        <w:spacing w:before="101" w:line="226" w:lineRule="auto"/>
        <w:rPr>
          <w:rFonts w:ascii="黑体" w:hAnsi="黑体" w:eastAsia="黑体" w:cs="黑体"/>
          <w:spacing w:val="8"/>
          <w:sz w:val="31"/>
          <w:szCs w:val="31"/>
        </w:rPr>
      </w:pPr>
      <w: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-240030</wp:posOffset>
            </wp:positionH>
            <wp:positionV relativeFrom="paragraph">
              <wp:posOffset>280035</wp:posOffset>
            </wp:positionV>
            <wp:extent cx="5231130" cy="2585085"/>
            <wp:effectExtent l="0" t="0" r="0" b="0"/>
            <wp:wrapTight wrapText="bothSides">
              <wp:wrapPolygon>
                <wp:start x="0" y="0"/>
                <wp:lineTo x="0" y="21542"/>
                <wp:lineTo x="21553" y="21542"/>
                <wp:lineTo x="21553" y="0"/>
                <wp:lineTo x="0" y="0"/>
              </wp:wrapPolygon>
            </wp:wrapTight>
            <wp:docPr id="7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3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31130" cy="2585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3B8158E">
      <w:pPr>
        <w:numPr>
          <w:ilvl w:val="0"/>
          <w:numId w:val="0"/>
        </w:numPr>
        <w:spacing w:before="101" w:line="226" w:lineRule="auto"/>
        <w:rPr>
          <w:rFonts w:ascii="黑体" w:hAnsi="黑体" w:eastAsia="黑体" w:cs="黑体"/>
          <w:spacing w:val="8"/>
          <w:sz w:val="31"/>
          <w:szCs w:val="31"/>
        </w:rPr>
      </w:pPr>
    </w:p>
    <w:p w14:paraId="4EF5BFCD">
      <w:pPr>
        <w:numPr>
          <w:ilvl w:val="0"/>
          <w:numId w:val="0"/>
        </w:numPr>
        <w:spacing w:before="101" w:line="226" w:lineRule="auto"/>
        <w:rPr>
          <w:rFonts w:ascii="黑体" w:hAnsi="黑体" w:eastAsia="黑体" w:cs="黑体"/>
          <w:spacing w:val="8"/>
          <w:sz w:val="31"/>
          <w:szCs w:val="31"/>
        </w:rPr>
      </w:pPr>
      <w: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-163195</wp:posOffset>
            </wp:positionH>
            <wp:positionV relativeFrom="paragraph">
              <wp:posOffset>718820</wp:posOffset>
            </wp:positionV>
            <wp:extent cx="5514975" cy="3194685"/>
            <wp:effectExtent l="0" t="0" r="0" b="0"/>
            <wp:wrapTight wrapText="bothSides">
              <wp:wrapPolygon>
                <wp:start x="0" y="0"/>
                <wp:lineTo x="0" y="21553"/>
                <wp:lineTo x="21538" y="21553"/>
                <wp:lineTo x="21538" y="0"/>
                <wp:lineTo x="0" y="0"/>
              </wp:wrapPolygon>
            </wp:wrapTight>
            <wp:docPr id="8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7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514975" cy="3194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黑体" w:hAnsi="黑体" w:eastAsia="黑体" w:cs="黑体"/>
          <w:spacing w:val="8"/>
          <w:sz w:val="31"/>
          <w:szCs w:val="31"/>
        </w:rPr>
        <w:t>六、一般公共预算财政拨款基本支出决算明细表</w:t>
      </w:r>
    </w:p>
    <w:p w14:paraId="3B98EC65">
      <w:pPr>
        <w:spacing w:line="271" w:lineRule="auto"/>
        <w:rPr>
          <w:rFonts w:ascii="Arial"/>
          <w:sz w:val="21"/>
        </w:rPr>
      </w:pPr>
    </w:p>
    <w:p w14:paraId="03718BE3">
      <w:pPr>
        <w:spacing w:line="271" w:lineRule="auto"/>
        <w:rPr>
          <w:rFonts w:ascii="Arial"/>
          <w:sz w:val="21"/>
        </w:rPr>
      </w:pPr>
    </w:p>
    <w:p w14:paraId="6116B329">
      <w:pPr>
        <w:spacing w:line="272" w:lineRule="auto"/>
        <w:rPr>
          <w:rFonts w:ascii="Arial"/>
          <w:sz w:val="21"/>
        </w:rPr>
      </w:pPr>
    </w:p>
    <w:p w14:paraId="7D5605F7">
      <w:pPr>
        <w:spacing w:before="101" w:line="227" w:lineRule="auto"/>
        <w:ind w:left="666"/>
        <w:rPr>
          <w:rFonts w:ascii="黑体" w:hAnsi="黑体" w:eastAsia="黑体" w:cs="黑体"/>
          <w:spacing w:val="9"/>
          <w:sz w:val="31"/>
          <w:szCs w:val="31"/>
        </w:rPr>
      </w:pPr>
    </w:p>
    <w:p w14:paraId="797E3BFE">
      <w:pPr>
        <w:spacing w:before="101" w:line="227" w:lineRule="auto"/>
        <w:ind w:left="666"/>
        <w:rPr>
          <w:rFonts w:ascii="黑体" w:hAnsi="黑体" w:eastAsia="黑体" w:cs="黑体"/>
          <w:spacing w:val="9"/>
          <w:sz w:val="31"/>
          <w:szCs w:val="31"/>
        </w:rPr>
      </w:pPr>
    </w:p>
    <w:p w14:paraId="77EEED78">
      <w:pPr>
        <w:spacing w:before="101" w:line="227" w:lineRule="auto"/>
        <w:ind w:left="666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9"/>
          <w:sz w:val="31"/>
          <w:szCs w:val="31"/>
        </w:rPr>
        <w:t>七、政府性基金预算财政拨款收入支出决算表</w:t>
      </w:r>
    </w:p>
    <w:p w14:paraId="43114270">
      <w:pPr>
        <w:spacing w:line="280" w:lineRule="auto"/>
        <w:rPr>
          <w:rFonts w:ascii="Arial"/>
          <w:sz w:val="21"/>
        </w:rPr>
      </w:pPr>
    </w:p>
    <w:p w14:paraId="3B3EA47C">
      <w:pPr>
        <w:spacing w:line="280" w:lineRule="auto"/>
        <w:rPr>
          <w:rFonts w:ascii="Arial"/>
          <w:sz w:val="21"/>
        </w:rPr>
      </w:pPr>
    </w:p>
    <w:p w14:paraId="3A5D6508">
      <w:pPr>
        <w:spacing w:line="4100" w:lineRule="exact"/>
        <w:ind w:firstLine="434"/>
      </w:pPr>
      <w:r>
        <w:rPr>
          <w:position w:val="-81"/>
        </w:rPr>
        <w:drawing>
          <wp:inline distT="0" distB="0" distL="0" distR="0">
            <wp:extent cx="5267960" cy="2602865"/>
            <wp:effectExtent l="0" t="0" r="0" b="0"/>
            <wp:docPr id="16" name="IM 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 16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68467" cy="26029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F251C6">
      <w:pPr>
        <w:spacing w:line="268" w:lineRule="auto"/>
        <w:rPr>
          <w:rFonts w:ascii="Arial"/>
          <w:sz w:val="21"/>
        </w:rPr>
      </w:pPr>
    </w:p>
    <w:p w14:paraId="788B4E87">
      <w:pPr>
        <w:spacing w:line="269" w:lineRule="auto"/>
        <w:rPr>
          <w:rFonts w:ascii="Arial"/>
          <w:sz w:val="21"/>
        </w:rPr>
      </w:pPr>
    </w:p>
    <w:p w14:paraId="5CFD1755">
      <w:pPr>
        <w:spacing w:line="269" w:lineRule="auto"/>
        <w:rPr>
          <w:rFonts w:ascii="Arial"/>
          <w:sz w:val="21"/>
        </w:rPr>
      </w:pPr>
    </w:p>
    <w:p w14:paraId="44BBA340">
      <w:pPr>
        <w:spacing w:line="269" w:lineRule="auto"/>
        <w:rPr>
          <w:rFonts w:ascii="Arial"/>
          <w:sz w:val="21"/>
        </w:rPr>
      </w:pPr>
    </w:p>
    <w:p w14:paraId="7F69FF31">
      <w:pPr>
        <w:spacing w:before="101" w:line="227" w:lineRule="auto"/>
        <w:ind w:left="667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9"/>
          <w:sz w:val="31"/>
          <w:szCs w:val="31"/>
        </w:rPr>
        <w:t>八、国有资本经营预算财政拨款支出决算表</w:t>
      </w:r>
    </w:p>
    <w:p w14:paraId="14A11114">
      <w:pPr>
        <w:spacing w:line="267" w:lineRule="auto"/>
        <w:rPr>
          <w:rFonts w:ascii="Arial"/>
          <w:sz w:val="21"/>
        </w:rPr>
      </w:pPr>
    </w:p>
    <w:p w14:paraId="4139421E">
      <w:pPr>
        <w:spacing w:line="268" w:lineRule="auto"/>
        <w:rPr>
          <w:rFonts w:ascii="Arial"/>
          <w:sz w:val="21"/>
        </w:rPr>
      </w:pPr>
    </w:p>
    <w:p w14:paraId="4B350987">
      <w:pPr>
        <w:spacing w:line="268" w:lineRule="auto"/>
        <w:rPr>
          <w:rFonts w:ascii="Arial"/>
          <w:sz w:val="21"/>
        </w:rPr>
      </w:pPr>
    </w:p>
    <w:p w14:paraId="6808E494">
      <w:pPr>
        <w:spacing w:line="4491" w:lineRule="exact"/>
        <w:ind w:firstLine="434"/>
        <w:rPr>
          <w:rFonts w:ascii="Arial"/>
          <w:sz w:val="21"/>
        </w:rPr>
      </w:pPr>
      <w:r>
        <w:rPr>
          <w:position w:val="-89"/>
        </w:rPr>
        <w:drawing>
          <wp:inline distT="0" distB="0" distL="0" distR="0">
            <wp:extent cx="5266690" cy="2851150"/>
            <wp:effectExtent l="0" t="0" r="0" b="0"/>
            <wp:docPr id="18" name="IM 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 18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66943" cy="28514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01E490">
      <w:pPr>
        <w:spacing w:line="271" w:lineRule="auto"/>
        <w:rPr>
          <w:rFonts w:ascii="Arial"/>
          <w:sz w:val="21"/>
        </w:rPr>
      </w:pPr>
    </w:p>
    <w:p w14:paraId="7101FB51">
      <w:pPr>
        <w:spacing w:line="272" w:lineRule="auto"/>
        <w:rPr>
          <w:rFonts w:ascii="Arial"/>
          <w:sz w:val="21"/>
        </w:rPr>
      </w:pPr>
    </w:p>
    <w:p w14:paraId="196FE369">
      <w:pPr>
        <w:spacing w:line="272" w:lineRule="auto"/>
        <w:rPr>
          <w:rFonts w:ascii="Arial"/>
          <w:sz w:val="21"/>
        </w:rPr>
      </w:pPr>
    </w:p>
    <w:p w14:paraId="2F37F69F">
      <w:pPr>
        <w:spacing w:line="272" w:lineRule="auto"/>
        <w:rPr>
          <w:rFonts w:ascii="Arial"/>
          <w:sz w:val="21"/>
        </w:rPr>
      </w:pPr>
    </w:p>
    <w:p w14:paraId="522BC5A1">
      <w:pPr>
        <w:spacing w:before="101" w:line="227" w:lineRule="auto"/>
        <w:ind w:left="674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8"/>
          <w:sz w:val="31"/>
          <w:szCs w:val="31"/>
        </w:rPr>
        <w:t>九、财政拨款“三公”经费支出决算表</w:t>
      </w:r>
    </w:p>
    <w:p w14:paraId="5CF60EC6">
      <w:pPr>
        <w:spacing w:line="262" w:lineRule="auto"/>
        <w:rPr>
          <w:rFonts w:ascii="Arial"/>
          <w:sz w:val="21"/>
        </w:rPr>
      </w:pPr>
    </w:p>
    <w:p w14:paraId="4CE7E8E4">
      <w:pPr>
        <w:spacing w:line="262" w:lineRule="auto"/>
        <w:rPr>
          <w:rFonts w:ascii="Arial"/>
          <w:sz w:val="21"/>
        </w:rPr>
      </w:pPr>
      <w:r>
        <w:rPr>
          <w:position w:val="-59"/>
        </w:rPr>
        <w:drawing>
          <wp:inline distT="0" distB="0" distL="0" distR="0">
            <wp:extent cx="5269865" cy="1880235"/>
            <wp:effectExtent l="0" t="0" r="635" b="12065"/>
            <wp:docPr id="20" name="IM 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 20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69991" cy="18806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7CEB86">
      <w:pPr>
        <w:spacing w:line="272" w:lineRule="auto"/>
        <w:rPr>
          <w:rFonts w:ascii="Arial"/>
          <w:sz w:val="21"/>
        </w:rPr>
      </w:pPr>
    </w:p>
    <w:p w14:paraId="50BAADE4">
      <w:pPr>
        <w:spacing w:before="100" w:line="226" w:lineRule="auto"/>
        <w:ind w:left="30"/>
        <w:rPr>
          <w:rFonts w:ascii="黑体" w:hAnsi="黑体" w:eastAsia="黑体" w:cs="黑体"/>
          <w:spacing w:val="8"/>
          <w:sz w:val="31"/>
          <w:szCs w:val="31"/>
        </w:rPr>
      </w:pPr>
    </w:p>
    <w:p w14:paraId="65867369">
      <w:pPr>
        <w:spacing w:line="259" w:lineRule="auto"/>
        <w:rPr>
          <w:rFonts w:ascii="Arial"/>
          <w:sz w:val="21"/>
        </w:rPr>
      </w:pPr>
      <w:r>
        <w:rPr>
          <w:rFonts w:ascii="黑体" w:hAnsi="黑体" w:eastAsia="黑体" w:cs="黑体"/>
          <w:spacing w:val="8"/>
          <w:sz w:val="31"/>
          <w:szCs w:val="31"/>
        </w:rPr>
        <w:t>十、部门预算项目支出绩效自评表</w:t>
      </w:r>
    </w:p>
    <w:p w14:paraId="1BC711D8">
      <w:pPr>
        <w:spacing w:line="259" w:lineRule="auto"/>
        <w:rPr>
          <w:rFonts w:ascii="Arial"/>
          <w:sz w:val="21"/>
        </w:rPr>
      </w:pPr>
    </w:p>
    <w:p w14:paraId="19C6EC34">
      <w:pPr>
        <w:spacing w:line="267" w:lineRule="auto"/>
        <w:rPr>
          <w:rFonts w:ascii="Arial"/>
          <w:sz w:val="21"/>
        </w:rPr>
      </w:pPr>
    </w:p>
    <w:p w14:paraId="56721343">
      <w:pPr>
        <w:spacing w:line="267" w:lineRule="auto"/>
        <w:rPr>
          <w:rFonts w:ascii="Arial"/>
          <w:sz w:val="21"/>
        </w:rPr>
      </w:pPr>
      <w:r>
        <w:rPr>
          <w:position w:val="-196"/>
        </w:rPr>
        <w:drawing>
          <wp:anchor distT="0" distB="0" distL="0" distR="0" simplePos="0" relativeHeight="251663360" behindDoc="1" locked="0" layoutInCell="1" allowOverlap="1">
            <wp:simplePos x="0" y="0"/>
            <wp:positionH relativeFrom="column">
              <wp:posOffset>-11430</wp:posOffset>
            </wp:positionH>
            <wp:positionV relativeFrom="page">
              <wp:posOffset>4415155</wp:posOffset>
            </wp:positionV>
            <wp:extent cx="4575810" cy="4665345"/>
            <wp:effectExtent l="0" t="0" r="21590" b="33655"/>
            <wp:wrapTight wrapText="bothSides">
              <wp:wrapPolygon>
                <wp:start x="0" y="0"/>
                <wp:lineTo x="0" y="21521"/>
                <wp:lineTo x="21522" y="21521"/>
                <wp:lineTo x="21522" y="0"/>
                <wp:lineTo x="0" y="0"/>
              </wp:wrapPolygon>
            </wp:wrapTight>
            <wp:docPr id="22" name="IM 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 22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4575810" cy="46653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9D00362">
      <w:pPr>
        <w:spacing w:line="267" w:lineRule="auto"/>
        <w:rPr>
          <w:rFonts w:ascii="Arial"/>
          <w:sz w:val="21"/>
        </w:rPr>
      </w:pPr>
    </w:p>
    <w:p w14:paraId="29572909">
      <w:pPr>
        <w:spacing w:line="267" w:lineRule="auto"/>
        <w:rPr>
          <w:rFonts w:ascii="Arial"/>
          <w:sz w:val="21"/>
        </w:rPr>
      </w:pPr>
    </w:p>
    <w:p w14:paraId="6A77DA8B">
      <w:pPr>
        <w:spacing w:line="267" w:lineRule="auto"/>
        <w:rPr>
          <w:rFonts w:ascii="Arial"/>
          <w:sz w:val="21"/>
        </w:rPr>
      </w:pPr>
    </w:p>
    <w:p w14:paraId="5966A190">
      <w:pPr>
        <w:spacing w:line="267" w:lineRule="auto"/>
        <w:rPr>
          <w:rFonts w:ascii="Arial"/>
          <w:sz w:val="21"/>
        </w:rPr>
      </w:pPr>
    </w:p>
    <w:p w14:paraId="45E92884">
      <w:pPr>
        <w:spacing w:line="267" w:lineRule="auto"/>
        <w:rPr>
          <w:rFonts w:ascii="Arial"/>
          <w:sz w:val="21"/>
        </w:rPr>
      </w:pPr>
    </w:p>
    <w:p w14:paraId="68A1E1E2">
      <w:pPr>
        <w:spacing w:line="267" w:lineRule="auto"/>
        <w:rPr>
          <w:rFonts w:ascii="Arial"/>
          <w:sz w:val="21"/>
        </w:rPr>
      </w:pPr>
    </w:p>
    <w:p w14:paraId="23A5B6E2">
      <w:pPr>
        <w:spacing w:line="267" w:lineRule="auto"/>
        <w:rPr>
          <w:rFonts w:ascii="Arial"/>
          <w:sz w:val="21"/>
        </w:rPr>
      </w:pPr>
    </w:p>
    <w:p w14:paraId="5D14E17D">
      <w:pPr>
        <w:spacing w:before="188" w:line="446" w:lineRule="exact"/>
        <w:ind w:left="482"/>
        <w:rPr>
          <w:rFonts w:ascii="微软雅黑" w:hAnsi="微软雅黑" w:eastAsia="微软雅黑" w:cs="微软雅黑"/>
          <w:spacing w:val="-3"/>
          <w:position w:val="-2"/>
          <w:sz w:val="44"/>
          <w:szCs w:val="44"/>
        </w:rPr>
      </w:pPr>
    </w:p>
    <w:p w14:paraId="79E399CD">
      <w:pPr>
        <w:spacing w:before="188" w:line="446" w:lineRule="exact"/>
        <w:ind w:left="482"/>
        <w:rPr>
          <w:rFonts w:ascii="微软雅黑" w:hAnsi="微软雅黑" w:eastAsia="微软雅黑" w:cs="微软雅黑"/>
          <w:spacing w:val="-3"/>
          <w:position w:val="-2"/>
          <w:sz w:val="44"/>
          <w:szCs w:val="44"/>
        </w:rPr>
      </w:pPr>
    </w:p>
    <w:p w14:paraId="4911BD79">
      <w:pPr>
        <w:spacing w:before="188" w:line="446" w:lineRule="exact"/>
        <w:ind w:left="482"/>
        <w:rPr>
          <w:rFonts w:ascii="微软雅黑" w:hAnsi="微软雅黑" w:eastAsia="微软雅黑" w:cs="微软雅黑"/>
          <w:spacing w:val="-3"/>
          <w:position w:val="-2"/>
          <w:sz w:val="44"/>
          <w:szCs w:val="44"/>
        </w:rPr>
      </w:pPr>
    </w:p>
    <w:p w14:paraId="08A4D02D">
      <w:pPr>
        <w:spacing w:before="188" w:line="446" w:lineRule="exact"/>
        <w:ind w:left="482"/>
        <w:rPr>
          <w:rFonts w:ascii="微软雅黑" w:hAnsi="微软雅黑" w:eastAsia="微软雅黑" w:cs="微软雅黑"/>
          <w:spacing w:val="-3"/>
          <w:position w:val="-2"/>
          <w:sz w:val="44"/>
          <w:szCs w:val="44"/>
        </w:rPr>
      </w:pPr>
    </w:p>
    <w:p w14:paraId="438C8998">
      <w:pPr>
        <w:spacing w:before="188" w:line="446" w:lineRule="exact"/>
        <w:ind w:left="482"/>
        <w:rPr>
          <w:rFonts w:ascii="微软雅黑" w:hAnsi="微软雅黑" w:eastAsia="微软雅黑" w:cs="微软雅黑"/>
          <w:spacing w:val="-3"/>
          <w:position w:val="-2"/>
          <w:sz w:val="44"/>
          <w:szCs w:val="44"/>
        </w:rPr>
      </w:pPr>
    </w:p>
    <w:p w14:paraId="59525728">
      <w:pPr>
        <w:spacing w:before="188" w:line="446" w:lineRule="exact"/>
        <w:ind w:left="482"/>
        <w:rPr>
          <w:rFonts w:ascii="微软雅黑" w:hAnsi="微软雅黑" w:eastAsia="微软雅黑" w:cs="微软雅黑"/>
          <w:spacing w:val="-3"/>
          <w:position w:val="-2"/>
          <w:sz w:val="44"/>
          <w:szCs w:val="44"/>
        </w:rPr>
      </w:pPr>
    </w:p>
    <w:p w14:paraId="1A33D90D">
      <w:pPr>
        <w:spacing w:before="188" w:line="446" w:lineRule="exact"/>
        <w:ind w:left="482"/>
        <w:rPr>
          <w:rFonts w:ascii="微软雅黑" w:hAnsi="微软雅黑" w:eastAsia="微软雅黑" w:cs="微软雅黑"/>
          <w:spacing w:val="-3"/>
          <w:position w:val="-2"/>
          <w:sz w:val="44"/>
          <w:szCs w:val="44"/>
        </w:rPr>
      </w:pPr>
    </w:p>
    <w:p w14:paraId="75FAE34E">
      <w:pPr>
        <w:spacing w:before="188" w:line="446" w:lineRule="exact"/>
        <w:ind w:left="482"/>
        <w:rPr>
          <w:rFonts w:ascii="微软雅黑" w:hAnsi="微软雅黑" w:eastAsia="微软雅黑" w:cs="微软雅黑"/>
          <w:spacing w:val="-3"/>
          <w:position w:val="-2"/>
          <w:sz w:val="44"/>
          <w:szCs w:val="44"/>
        </w:rPr>
      </w:pPr>
    </w:p>
    <w:p w14:paraId="367B8042">
      <w:pPr>
        <w:spacing w:before="188" w:line="446" w:lineRule="exact"/>
        <w:ind w:left="482"/>
        <w:rPr>
          <w:rFonts w:ascii="微软雅黑" w:hAnsi="微软雅黑" w:eastAsia="微软雅黑" w:cs="微软雅黑"/>
          <w:spacing w:val="-3"/>
          <w:position w:val="-2"/>
          <w:sz w:val="44"/>
          <w:szCs w:val="44"/>
        </w:rPr>
      </w:pPr>
    </w:p>
    <w:p w14:paraId="25DDF427">
      <w:pPr>
        <w:spacing w:before="188" w:line="446" w:lineRule="exact"/>
        <w:ind w:left="482"/>
        <w:rPr>
          <w:rFonts w:ascii="微软雅黑" w:hAnsi="微软雅黑" w:eastAsia="微软雅黑" w:cs="微软雅黑"/>
          <w:sz w:val="44"/>
          <w:szCs w:val="44"/>
        </w:rPr>
      </w:pPr>
      <w:r>
        <w:rPr>
          <w:rFonts w:ascii="微软雅黑" w:hAnsi="微软雅黑" w:eastAsia="微软雅黑" w:cs="微软雅黑"/>
          <w:spacing w:val="-3"/>
          <w:position w:val="-2"/>
          <w:sz w:val="44"/>
          <w:szCs w:val="44"/>
        </w:rPr>
        <w:t>第三部分</w:t>
      </w:r>
      <w:r>
        <w:rPr>
          <w:rFonts w:hint="eastAsia" w:ascii="微软雅黑" w:hAnsi="微软雅黑" w:eastAsia="微软雅黑" w:cs="微软雅黑"/>
          <w:spacing w:val="-3"/>
          <w:position w:val="-2"/>
          <w:sz w:val="44"/>
          <w:szCs w:val="44"/>
          <w:lang w:eastAsia="zh-CN"/>
        </w:rPr>
        <w:t>2025</w:t>
      </w:r>
      <w:r>
        <w:rPr>
          <w:rFonts w:ascii="微软雅黑" w:hAnsi="微软雅黑" w:eastAsia="微软雅黑" w:cs="微软雅黑"/>
          <w:spacing w:val="-3"/>
          <w:position w:val="-2"/>
          <w:sz w:val="44"/>
          <w:szCs w:val="44"/>
        </w:rPr>
        <w:t>年度部门决算情况说明</w:t>
      </w:r>
    </w:p>
    <w:p w14:paraId="15A89EC9">
      <w:pPr>
        <w:spacing w:line="319" w:lineRule="auto"/>
        <w:rPr>
          <w:rFonts w:ascii="Arial"/>
          <w:sz w:val="21"/>
        </w:rPr>
      </w:pPr>
    </w:p>
    <w:p w14:paraId="7F035AFE">
      <w:pPr>
        <w:numPr>
          <w:ilvl w:val="0"/>
          <w:numId w:val="2"/>
        </w:numPr>
        <w:spacing w:before="100" w:line="226" w:lineRule="auto"/>
        <w:ind w:left="672"/>
        <w:rPr>
          <w:rFonts w:ascii="黑体" w:hAnsi="黑体" w:eastAsia="黑体" w:cs="黑体"/>
          <w:spacing w:val="8"/>
          <w:sz w:val="31"/>
          <w:szCs w:val="31"/>
        </w:rPr>
      </w:pPr>
      <w:r>
        <w:rPr>
          <w:rFonts w:ascii="黑体" w:hAnsi="黑体" w:eastAsia="黑体" w:cs="黑体"/>
          <w:spacing w:val="8"/>
          <w:sz w:val="31"/>
          <w:szCs w:val="31"/>
        </w:rPr>
        <w:t>收入支出决算总体情况说明</w:t>
      </w:r>
    </w:p>
    <w:p w14:paraId="598A50BE">
      <w:pPr>
        <w:pStyle w:val="2"/>
        <w:spacing w:before="242" w:line="362" w:lineRule="auto"/>
        <w:ind w:left="65" w:right="13" w:firstLine="606"/>
        <w:rPr>
          <w:spacing w:val="3"/>
        </w:rPr>
      </w:pPr>
      <w:r>
        <w:rPr>
          <w:rFonts w:hint="eastAsia" w:ascii="宋体" w:hAnsi="宋体" w:eastAsia="宋体" w:cs="宋体"/>
          <w:lang w:eastAsia="zh-CN"/>
        </w:rPr>
        <w:t>2025</w:t>
      </w:r>
      <w:r>
        <w:t>年度收、支总计均为</w:t>
      </w:r>
      <w:r>
        <w:rPr>
          <w:rFonts w:hint="eastAsia" w:ascii="宋体" w:hAnsi="宋体" w:eastAsia="宋体" w:cs="宋体"/>
          <w:lang w:val="en-US" w:eastAsia="zh-CN"/>
        </w:rPr>
        <w:t>164.63</w:t>
      </w:r>
      <w:r>
        <w:t>万元。与</w:t>
      </w:r>
      <w:r>
        <w:rPr>
          <w:rFonts w:hint="eastAsia" w:ascii="宋体" w:hAnsi="宋体" w:eastAsia="宋体" w:cs="宋体"/>
          <w:lang w:eastAsia="zh-CN"/>
        </w:rPr>
        <w:t>2024</w:t>
      </w:r>
      <w:r>
        <w:t>年</w:t>
      </w:r>
      <w:r>
        <w:rPr>
          <w:spacing w:val="-1"/>
        </w:rPr>
        <w:t>度相</w:t>
      </w:r>
      <w:r>
        <w:rPr>
          <w:spacing w:val="9"/>
        </w:rPr>
        <w:t>比，收、支总计各增加</w:t>
      </w:r>
      <w:r>
        <w:rPr>
          <w:rFonts w:hint="eastAsia" w:ascii="宋体" w:hAnsi="宋体" w:eastAsia="宋体" w:cs="宋体"/>
          <w:spacing w:val="9"/>
          <w:lang w:val="en-US" w:eastAsia="zh-CN"/>
        </w:rPr>
        <w:t>15.78</w:t>
      </w:r>
      <w:r>
        <w:rPr>
          <w:spacing w:val="9"/>
        </w:rPr>
        <w:t>万元，增</w:t>
      </w:r>
      <w:r>
        <w:rPr>
          <w:rFonts w:hint="eastAsia" w:ascii="宋体" w:hAnsi="宋体" w:eastAsia="宋体" w:cs="宋体"/>
          <w:spacing w:val="9"/>
          <w:lang w:val="en-US" w:eastAsia="zh-CN"/>
        </w:rPr>
        <w:t>长10.6%</w:t>
      </w:r>
      <w:r>
        <w:rPr>
          <w:spacing w:val="8"/>
        </w:rPr>
        <w:t>。主要原</w:t>
      </w:r>
      <w:r>
        <w:rPr>
          <w:spacing w:val="3"/>
        </w:rPr>
        <w:t>因：</w:t>
      </w:r>
      <w:r>
        <w:rPr>
          <w:rFonts w:hint="eastAsia"/>
          <w:spacing w:val="3"/>
        </w:rPr>
        <w:t>本年增加了处访经费</w:t>
      </w:r>
      <w:r>
        <w:rPr>
          <w:spacing w:val="3"/>
        </w:rPr>
        <w:t>。</w:t>
      </w:r>
    </w:p>
    <w:p w14:paraId="02DE8FA1">
      <w:pPr>
        <w:spacing w:before="50" w:line="226" w:lineRule="auto"/>
        <w:ind w:left="672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7"/>
          <w:sz w:val="31"/>
          <w:szCs w:val="31"/>
        </w:rPr>
        <w:t>二、收入决算情况说明</w:t>
      </w:r>
    </w:p>
    <w:p w14:paraId="38B93C24">
      <w:pPr>
        <w:pStyle w:val="2"/>
        <w:spacing w:before="250" w:line="366" w:lineRule="auto"/>
        <w:ind w:left="22" w:right="12" w:firstLine="644"/>
        <w:jc w:val="left"/>
        <w:rPr>
          <w:spacing w:val="9"/>
        </w:rPr>
      </w:pPr>
      <w:r>
        <w:rPr>
          <w:spacing w:val="-7"/>
        </w:rPr>
        <w:t>本年收入合计</w:t>
      </w:r>
      <w:r>
        <w:rPr>
          <w:rFonts w:hint="eastAsia" w:ascii="宋体" w:hAnsi="宋体" w:eastAsia="宋体" w:cs="宋体"/>
          <w:spacing w:val="-7"/>
          <w:lang w:val="en-US" w:eastAsia="zh-CN"/>
        </w:rPr>
        <w:t>164.13</w:t>
      </w:r>
      <w:r>
        <w:rPr>
          <w:spacing w:val="-7"/>
        </w:rPr>
        <w:t>万元，其中：财政拨款收入</w:t>
      </w:r>
      <w:r>
        <w:rPr>
          <w:rFonts w:hint="eastAsia" w:ascii="宋体" w:hAnsi="宋体" w:eastAsia="宋体" w:cs="宋体"/>
          <w:spacing w:val="-7"/>
          <w:lang w:val="en-US" w:eastAsia="zh-CN"/>
        </w:rPr>
        <w:t>164.13</w:t>
      </w:r>
      <w:r>
        <w:rPr>
          <w:spacing w:val="2"/>
        </w:rPr>
        <w:t>万元</w:t>
      </w:r>
      <w:r>
        <w:rPr>
          <w:rFonts w:hint="eastAsia"/>
          <w:spacing w:val="2"/>
          <w:lang w:eastAsia="zh-CN"/>
        </w:rPr>
        <w:t>，</w:t>
      </w:r>
      <w:r>
        <w:rPr>
          <w:spacing w:val="2"/>
        </w:rPr>
        <w:t>比上年</w:t>
      </w:r>
      <w:r>
        <w:rPr>
          <w:spacing w:val="9"/>
        </w:rPr>
        <w:t>增加</w:t>
      </w:r>
      <w:r>
        <w:rPr>
          <w:rFonts w:hint="eastAsia" w:ascii="宋体" w:hAnsi="宋体" w:eastAsia="宋体" w:cs="宋体"/>
          <w:spacing w:val="9"/>
          <w:lang w:val="en-US" w:eastAsia="zh-CN"/>
        </w:rPr>
        <w:t>15.78</w:t>
      </w:r>
      <w:r>
        <w:rPr>
          <w:spacing w:val="9"/>
        </w:rPr>
        <w:t>万元</w:t>
      </w:r>
      <w:r>
        <w:rPr>
          <w:spacing w:val="2"/>
        </w:rPr>
        <w:t>，增长</w:t>
      </w:r>
      <w:r>
        <w:rPr>
          <w:rFonts w:hint="eastAsia" w:ascii="宋体" w:hAnsi="宋体" w:eastAsia="宋体" w:cs="宋体"/>
          <w:spacing w:val="2"/>
          <w:lang w:val="en-US" w:eastAsia="zh-CN"/>
        </w:rPr>
        <w:t>10.6</w:t>
      </w:r>
      <w:r>
        <w:rPr>
          <w:rFonts w:ascii="宋体" w:hAnsi="宋体" w:eastAsia="宋体" w:cs="宋体"/>
          <w:spacing w:val="2"/>
        </w:rPr>
        <w:t>%</w:t>
      </w:r>
      <w:r>
        <w:rPr>
          <w:spacing w:val="2"/>
        </w:rPr>
        <w:t>，主要原因</w:t>
      </w:r>
      <w:r>
        <w:rPr>
          <w:rFonts w:hint="eastAsia"/>
          <w:spacing w:val="2"/>
          <w:lang w:eastAsia="zh-CN"/>
        </w:rPr>
        <w:t>：</w:t>
      </w:r>
      <w:r>
        <w:rPr>
          <w:rFonts w:hint="eastAsia"/>
          <w:spacing w:val="3"/>
        </w:rPr>
        <w:t>本年增加了处访经费</w:t>
      </w:r>
      <w:r>
        <w:rPr>
          <w:spacing w:val="9"/>
        </w:rPr>
        <w:t>。</w:t>
      </w:r>
    </w:p>
    <w:p w14:paraId="643185C2">
      <w:pPr>
        <w:spacing w:before="51" w:line="226" w:lineRule="auto"/>
        <w:ind w:left="673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7"/>
          <w:sz w:val="31"/>
          <w:szCs w:val="31"/>
        </w:rPr>
        <w:t>三、支出决算情况说明</w:t>
      </w:r>
    </w:p>
    <w:p w14:paraId="40005D8C">
      <w:pPr>
        <w:pStyle w:val="2"/>
        <w:spacing w:before="239" w:line="366" w:lineRule="auto"/>
        <w:ind w:left="26" w:right="16" w:firstLine="640"/>
        <w:rPr>
          <w:spacing w:val="8"/>
        </w:rPr>
      </w:pPr>
      <w:r>
        <w:rPr>
          <w:spacing w:val="2"/>
        </w:rPr>
        <w:t>本年支出合计</w:t>
      </w:r>
      <w:r>
        <w:rPr>
          <w:rFonts w:hint="eastAsia" w:ascii="宋体" w:hAnsi="宋体" w:eastAsia="宋体" w:cs="宋体"/>
          <w:spacing w:val="2"/>
          <w:lang w:val="en-US" w:eastAsia="zh-CN"/>
        </w:rPr>
        <w:t>164.13</w:t>
      </w:r>
      <w:r>
        <w:rPr>
          <w:spacing w:val="2"/>
        </w:rPr>
        <w:t>万元，其中：基本支出</w:t>
      </w:r>
      <w:r>
        <w:rPr>
          <w:rFonts w:hint="eastAsia"/>
          <w:spacing w:val="2"/>
          <w:lang w:val="en-US" w:eastAsia="zh-CN"/>
        </w:rPr>
        <w:t>164.13</w:t>
      </w:r>
      <w:r>
        <w:rPr>
          <w:spacing w:val="1"/>
        </w:rPr>
        <w:t>万</w:t>
      </w:r>
      <w:r>
        <w:rPr>
          <w:spacing w:val="3"/>
        </w:rPr>
        <w:t>元，比上年增加</w:t>
      </w:r>
      <w:r>
        <w:rPr>
          <w:rFonts w:hint="eastAsia" w:ascii="宋体" w:hAnsi="宋体" w:eastAsia="宋体" w:cs="宋体"/>
          <w:spacing w:val="3"/>
          <w:lang w:val="en-US" w:eastAsia="zh-CN"/>
        </w:rPr>
        <w:t>86.48</w:t>
      </w:r>
      <w:r>
        <w:rPr>
          <w:spacing w:val="3"/>
        </w:rPr>
        <w:t>万元，增</w:t>
      </w:r>
      <w:r>
        <w:rPr>
          <w:rFonts w:hint="eastAsia" w:ascii="宋体" w:hAnsi="宋体" w:eastAsia="宋体" w:cs="宋体"/>
          <w:spacing w:val="3"/>
          <w:lang w:val="en-US" w:eastAsia="zh-CN"/>
        </w:rPr>
        <w:t>长111.4%，主</w:t>
      </w:r>
      <w:r>
        <w:rPr>
          <w:spacing w:val="2"/>
        </w:rPr>
        <w:t>要是</w:t>
      </w:r>
      <w:r>
        <w:rPr>
          <w:rFonts w:hint="eastAsia"/>
          <w:spacing w:val="3"/>
        </w:rPr>
        <w:t>增加</w:t>
      </w:r>
      <w:r>
        <w:rPr>
          <w:rFonts w:hint="eastAsia"/>
          <w:spacing w:val="3"/>
          <w:lang w:eastAsia="zh-CN"/>
        </w:rPr>
        <w:t>驻京</w:t>
      </w:r>
      <w:r>
        <w:rPr>
          <w:rFonts w:hint="eastAsia"/>
          <w:spacing w:val="3"/>
        </w:rPr>
        <w:t>处访经费</w:t>
      </w:r>
      <w:r>
        <w:rPr>
          <w:spacing w:val="8"/>
        </w:rPr>
        <w:t>。</w:t>
      </w:r>
    </w:p>
    <w:p w14:paraId="49D63A3D">
      <w:pPr>
        <w:spacing w:before="52" w:line="226" w:lineRule="auto"/>
        <w:ind w:left="686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8"/>
          <w:sz w:val="31"/>
          <w:szCs w:val="31"/>
        </w:rPr>
        <w:t>四、财政拨款收入支出决算总体情况说明</w:t>
      </w:r>
    </w:p>
    <w:p w14:paraId="22B2E0CC">
      <w:pPr>
        <w:pStyle w:val="2"/>
        <w:spacing w:before="248" w:line="362" w:lineRule="auto"/>
        <w:ind w:left="30" w:right="16" w:firstLine="640"/>
      </w:pPr>
      <w:r>
        <w:rPr>
          <w:rFonts w:hint="eastAsia" w:ascii="宋体" w:hAnsi="宋体" w:eastAsia="宋体" w:cs="宋体"/>
          <w:spacing w:val="12"/>
          <w:lang w:eastAsia="zh-CN"/>
        </w:rPr>
        <w:t>2025</w:t>
      </w:r>
      <w:r>
        <w:rPr>
          <w:spacing w:val="12"/>
        </w:rPr>
        <w:t>年度财政拨款收、支总计均为</w:t>
      </w:r>
      <w:r>
        <w:rPr>
          <w:rFonts w:hint="eastAsia" w:ascii="宋体" w:hAnsi="宋体" w:eastAsia="宋体" w:cs="宋体"/>
          <w:spacing w:val="2"/>
          <w:lang w:val="en-US" w:eastAsia="zh-CN"/>
        </w:rPr>
        <w:t>164.13</w:t>
      </w:r>
      <w:r>
        <w:rPr>
          <w:spacing w:val="12"/>
        </w:rPr>
        <w:t>万元，与</w:t>
      </w:r>
      <w:r>
        <w:rPr>
          <w:rFonts w:hint="eastAsia" w:ascii="宋体" w:hAnsi="宋体" w:eastAsia="宋体" w:cs="宋体"/>
          <w:spacing w:val="2"/>
          <w:lang w:eastAsia="zh-CN"/>
        </w:rPr>
        <w:t>2024</w:t>
      </w:r>
      <w:r>
        <w:rPr>
          <w:spacing w:val="2"/>
        </w:rPr>
        <w:t>年相比，财政拨款收、支总计各增加</w:t>
      </w:r>
      <w:r>
        <w:rPr>
          <w:rFonts w:hint="eastAsia" w:ascii="宋体" w:hAnsi="宋体" w:eastAsia="宋体" w:cs="宋体"/>
          <w:spacing w:val="2"/>
          <w:lang w:val="en-US" w:eastAsia="zh-CN"/>
        </w:rPr>
        <w:t>15.78万</w:t>
      </w:r>
      <w:r>
        <w:rPr>
          <w:spacing w:val="2"/>
        </w:rPr>
        <w:t>元，</w:t>
      </w:r>
      <w:r>
        <w:rPr>
          <w:spacing w:val="1"/>
        </w:rPr>
        <w:t>增长</w:t>
      </w:r>
      <w:r>
        <w:rPr>
          <w:rFonts w:hint="eastAsia" w:ascii="宋体" w:hAnsi="宋体" w:eastAsia="宋体" w:cs="宋体"/>
          <w:spacing w:val="6"/>
          <w:lang w:val="en-US" w:eastAsia="zh-CN"/>
        </w:rPr>
        <w:t>10.6</w:t>
      </w:r>
      <w:r>
        <w:rPr>
          <w:rFonts w:ascii="宋体" w:hAnsi="宋体" w:eastAsia="宋体" w:cs="宋体"/>
          <w:spacing w:val="6"/>
        </w:rPr>
        <w:t>%</w:t>
      </w:r>
      <w:r>
        <w:rPr>
          <w:spacing w:val="6"/>
        </w:rPr>
        <w:t>。主要原因</w:t>
      </w:r>
      <w:r>
        <w:rPr>
          <w:rFonts w:ascii="宋体" w:hAnsi="宋体" w:eastAsia="宋体" w:cs="宋体"/>
          <w:spacing w:val="6"/>
        </w:rPr>
        <w:t>:</w:t>
      </w:r>
      <w:r>
        <w:rPr>
          <w:rFonts w:hint="eastAsia"/>
          <w:spacing w:val="3"/>
        </w:rPr>
        <w:t>增加了</w:t>
      </w:r>
      <w:r>
        <w:rPr>
          <w:rFonts w:hint="eastAsia"/>
          <w:spacing w:val="3"/>
          <w:lang w:eastAsia="zh-CN"/>
        </w:rPr>
        <w:t>驻京</w:t>
      </w:r>
      <w:r>
        <w:rPr>
          <w:rFonts w:hint="eastAsia"/>
          <w:spacing w:val="3"/>
        </w:rPr>
        <w:t>处访经费</w:t>
      </w:r>
      <w:r>
        <w:rPr>
          <w:spacing w:val="6"/>
        </w:rPr>
        <w:t>。</w:t>
      </w:r>
    </w:p>
    <w:p w14:paraId="230195FE">
      <w:pPr>
        <w:spacing w:before="100" w:line="226" w:lineRule="auto"/>
        <w:ind w:left="675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8"/>
          <w:sz w:val="31"/>
          <w:szCs w:val="31"/>
        </w:rPr>
        <w:t>五、一般公共预算财政拨款支出决算情况说明</w:t>
      </w:r>
    </w:p>
    <w:p w14:paraId="22C34712">
      <w:pPr>
        <w:pStyle w:val="2"/>
        <w:spacing w:before="244" w:line="222" w:lineRule="auto"/>
        <w:ind w:left="659"/>
        <w:outlineLvl w:val="1"/>
      </w:pPr>
      <w:r>
        <w:rPr>
          <w:b/>
          <w:bCs/>
          <w:spacing w:val="-1"/>
        </w:rPr>
        <w:t>（一）一般公共预算财政拨款支出决算总体情况</w:t>
      </w:r>
    </w:p>
    <w:p w14:paraId="087C0A8B">
      <w:pPr>
        <w:pStyle w:val="2"/>
        <w:spacing w:before="251" w:line="362" w:lineRule="auto"/>
        <w:ind w:left="26" w:right="160" w:firstLine="644"/>
      </w:pPr>
      <w:r>
        <w:rPr>
          <w:rFonts w:hint="eastAsia" w:ascii="宋体" w:hAnsi="宋体" w:eastAsia="宋体" w:cs="宋体"/>
          <w:spacing w:val="2"/>
          <w:lang w:eastAsia="zh-CN"/>
        </w:rPr>
        <w:t>2025</w:t>
      </w:r>
      <w:r>
        <w:rPr>
          <w:spacing w:val="2"/>
        </w:rPr>
        <w:t>年度一般公共预算财政拨款支出</w:t>
      </w:r>
      <w:r>
        <w:rPr>
          <w:rFonts w:hint="eastAsia"/>
          <w:spacing w:val="42"/>
          <w:lang w:val="en-US" w:eastAsia="zh-CN"/>
        </w:rPr>
        <w:t>164.13</w:t>
      </w:r>
      <w:r>
        <w:rPr>
          <w:spacing w:val="1"/>
        </w:rPr>
        <w:t>万元</w:t>
      </w:r>
      <w:r>
        <w:rPr>
          <w:rFonts w:hint="eastAsia"/>
          <w:spacing w:val="1"/>
          <w:lang w:eastAsia="zh-CN"/>
        </w:rPr>
        <w:t>，</w:t>
      </w:r>
      <w:r>
        <w:rPr>
          <w:spacing w:val="1"/>
        </w:rPr>
        <w:t>占</w:t>
      </w:r>
      <w:r>
        <w:rPr>
          <w:spacing w:val="5"/>
        </w:rPr>
        <w:t>本年支出合计的</w:t>
      </w:r>
      <w:r>
        <w:rPr>
          <w:rFonts w:ascii="宋体" w:hAnsi="宋体" w:eastAsia="宋体" w:cs="宋体"/>
          <w:spacing w:val="5"/>
        </w:rPr>
        <w:t>100%</w:t>
      </w:r>
      <w:r>
        <w:rPr>
          <w:rFonts w:hint="eastAsia" w:ascii="宋体" w:hAnsi="宋体" w:eastAsia="宋体" w:cs="宋体"/>
          <w:spacing w:val="5"/>
          <w:lang w:eastAsia="zh-CN"/>
        </w:rPr>
        <w:t>。</w:t>
      </w:r>
      <w:r>
        <w:rPr>
          <w:spacing w:val="5"/>
        </w:rPr>
        <w:t>与</w:t>
      </w:r>
      <w:r>
        <w:rPr>
          <w:rFonts w:hint="eastAsia" w:ascii="宋体" w:hAnsi="宋体" w:eastAsia="宋体" w:cs="宋体"/>
          <w:spacing w:val="5"/>
          <w:lang w:eastAsia="zh-CN"/>
        </w:rPr>
        <w:t>2024</w:t>
      </w:r>
      <w:r>
        <w:rPr>
          <w:spacing w:val="5"/>
        </w:rPr>
        <w:t>年度相比</w:t>
      </w:r>
      <w:r>
        <w:rPr>
          <w:rFonts w:hint="eastAsia"/>
          <w:spacing w:val="5"/>
          <w:lang w:eastAsia="zh-CN"/>
        </w:rPr>
        <w:t>，</w:t>
      </w:r>
      <w:r>
        <w:rPr>
          <w:spacing w:val="5"/>
        </w:rPr>
        <w:t>一般公共预算财政拨款支出增加</w:t>
      </w:r>
      <w:r>
        <w:rPr>
          <w:rFonts w:hint="eastAsia" w:ascii="宋体" w:hAnsi="宋体" w:eastAsia="宋体" w:cs="宋体"/>
          <w:spacing w:val="5"/>
          <w:lang w:val="en-US" w:eastAsia="zh-CN"/>
        </w:rPr>
        <w:t>15.78</w:t>
      </w:r>
      <w:r>
        <w:rPr>
          <w:spacing w:val="5"/>
        </w:rPr>
        <w:t>万元，增长</w:t>
      </w:r>
      <w:r>
        <w:rPr>
          <w:rFonts w:hint="eastAsia" w:ascii="宋体" w:hAnsi="宋体" w:eastAsia="宋体" w:cs="宋体"/>
          <w:spacing w:val="5"/>
          <w:lang w:val="en-US" w:eastAsia="zh-CN"/>
        </w:rPr>
        <w:t>10.6</w:t>
      </w:r>
      <w:r>
        <w:rPr>
          <w:rFonts w:ascii="宋体" w:hAnsi="宋体" w:eastAsia="宋体" w:cs="宋体"/>
          <w:spacing w:val="5"/>
        </w:rPr>
        <w:t>%</w:t>
      </w:r>
      <w:r>
        <w:rPr>
          <w:spacing w:val="5"/>
        </w:rPr>
        <w:t>。主要原因：</w:t>
      </w:r>
    </w:p>
    <w:p w14:paraId="204B8793">
      <w:pPr>
        <w:pStyle w:val="2"/>
        <w:spacing w:before="49" w:line="223" w:lineRule="auto"/>
        <w:ind w:left="29"/>
      </w:pPr>
      <w:r>
        <w:rPr>
          <w:rFonts w:hint="eastAsia"/>
          <w:spacing w:val="3"/>
        </w:rPr>
        <w:t>增加了</w:t>
      </w:r>
      <w:r>
        <w:rPr>
          <w:rFonts w:hint="eastAsia"/>
          <w:spacing w:val="3"/>
          <w:lang w:eastAsia="zh-CN"/>
        </w:rPr>
        <w:t>驻京</w:t>
      </w:r>
      <w:r>
        <w:rPr>
          <w:rFonts w:hint="eastAsia"/>
          <w:spacing w:val="3"/>
        </w:rPr>
        <w:t>处访经费</w:t>
      </w:r>
      <w:r>
        <w:rPr>
          <w:spacing w:val="6"/>
        </w:rPr>
        <w:t>。</w:t>
      </w:r>
    </w:p>
    <w:p w14:paraId="1D4CAAA8">
      <w:pPr>
        <w:pStyle w:val="2"/>
        <w:spacing w:before="245" w:line="224" w:lineRule="auto"/>
        <w:ind w:left="659"/>
        <w:outlineLvl w:val="1"/>
      </w:pPr>
      <w:r>
        <w:rPr>
          <w:b/>
          <w:bCs/>
          <w:spacing w:val="7"/>
        </w:rPr>
        <w:t>（二）一般公共预算财政拨款支出决算结构情况</w:t>
      </w:r>
    </w:p>
    <w:p w14:paraId="3432064A">
      <w:pPr>
        <w:pStyle w:val="2"/>
        <w:spacing w:before="249" w:line="367" w:lineRule="auto"/>
        <w:ind w:left="18" w:firstLine="652"/>
        <w:jc w:val="left"/>
        <w:rPr>
          <w:spacing w:val="-3"/>
        </w:rPr>
      </w:pPr>
      <w:r>
        <w:rPr>
          <w:rFonts w:hint="eastAsia" w:ascii="宋体" w:hAnsi="宋体" w:eastAsia="宋体" w:cs="宋体"/>
          <w:spacing w:val="2"/>
          <w:lang w:eastAsia="zh-CN"/>
        </w:rPr>
        <w:t>2025</w:t>
      </w:r>
      <w:r>
        <w:rPr>
          <w:spacing w:val="2"/>
        </w:rPr>
        <w:t>年度一般公共预算财政拨款支出</w:t>
      </w:r>
      <w:r>
        <w:rPr>
          <w:rFonts w:hint="eastAsia" w:ascii="宋体" w:hAnsi="宋体" w:eastAsia="宋体" w:cs="宋体"/>
          <w:spacing w:val="2"/>
          <w:lang w:val="en-US" w:eastAsia="zh-CN"/>
        </w:rPr>
        <w:t>164.13</w:t>
      </w:r>
      <w:r>
        <w:rPr>
          <w:spacing w:val="2"/>
        </w:rPr>
        <w:t>万元，主</w:t>
      </w:r>
      <w:r>
        <w:rPr>
          <w:spacing w:val="-1"/>
        </w:rPr>
        <w:t>要用于以下方面</w:t>
      </w:r>
      <w:r>
        <w:rPr>
          <w:rFonts w:hint="eastAsia"/>
          <w:spacing w:val="-1"/>
          <w:lang w:eastAsia="zh-CN"/>
        </w:rPr>
        <w:t>：</w:t>
      </w:r>
      <w:r>
        <w:rPr>
          <w:spacing w:val="15"/>
        </w:rPr>
        <w:t>一般公共服务支出（类</w:t>
      </w:r>
      <w:r>
        <w:rPr>
          <w:rFonts w:ascii="宋体" w:hAnsi="宋体" w:eastAsia="宋体" w:cs="宋体"/>
          <w:spacing w:val="15"/>
        </w:rPr>
        <w:t>)</w:t>
      </w:r>
      <w:r>
        <w:rPr>
          <w:spacing w:val="15"/>
        </w:rPr>
        <w:t>政府办公厅（室）及机关机构事</w:t>
      </w:r>
      <w:r>
        <w:rPr>
          <w:rFonts w:hint="eastAsia"/>
          <w:spacing w:val="15"/>
          <w:lang w:eastAsia="zh-CN"/>
        </w:rPr>
        <w:t>务</w:t>
      </w:r>
      <w:r>
        <w:rPr>
          <w:spacing w:val="3"/>
        </w:rPr>
        <w:t>（款）行政运行（项）支</w:t>
      </w:r>
      <w:r>
        <w:rPr>
          <w:rFonts w:ascii="宋体" w:hAnsi="宋体" w:eastAsia="宋体" w:cs="宋体"/>
          <w:spacing w:val="-1"/>
        </w:rPr>
        <w:t>出</w:t>
      </w:r>
      <w:r>
        <w:rPr>
          <w:rFonts w:hint="eastAsia" w:ascii="宋体" w:hAnsi="宋体" w:eastAsia="宋体" w:cs="宋体"/>
          <w:spacing w:val="-1"/>
          <w:lang w:val="en-US" w:eastAsia="zh-CN"/>
        </w:rPr>
        <w:t>164.13</w:t>
      </w:r>
      <w:r>
        <w:rPr>
          <w:rFonts w:ascii="宋体" w:hAnsi="宋体" w:eastAsia="宋体" w:cs="宋体"/>
          <w:spacing w:val="-1"/>
        </w:rPr>
        <w:t>万元，占</w:t>
      </w:r>
      <w:r>
        <w:rPr>
          <w:rFonts w:hint="eastAsia" w:ascii="宋体" w:hAnsi="宋体" w:eastAsia="宋体" w:cs="宋体"/>
          <w:spacing w:val="3"/>
          <w:lang w:val="en-US" w:eastAsia="zh-CN"/>
        </w:rPr>
        <w:t>100</w:t>
      </w:r>
      <w:r>
        <w:rPr>
          <w:rFonts w:ascii="宋体" w:hAnsi="宋体" w:eastAsia="宋体" w:cs="宋体"/>
          <w:spacing w:val="2"/>
        </w:rPr>
        <w:t>%</w:t>
      </w:r>
      <w:r>
        <w:rPr>
          <w:spacing w:val="2"/>
        </w:rPr>
        <w:t>；</w:t>
      </w:r>
    </w:p>
    <w:p w14:paraId="56494A39">
      <w:pPr>
        <w:pStyle w:val="2"/>
        <w:spacing w:before="249" w:line="367" w:lineRule="auto"/>
        <w:ind w:firstLine="618" w:firstLineChars="200"/>
        <w:jc w:val="left"/>
        <w:rPr>
          <w:b/>
          <w:bCs/>
          <w:spacing w:val="-1"/>
        </w:rPr>
      </w:pPr>
      <w:r>
        <w:rPr>
          <w:b/>
          <w:bCs/>
          <w:spacing w:val="-1"/>
        </w:rPr>
        <w:t>（三）一般公共预算财政拨款支出决算具体情况</w:t>
      </w:r>
    </w:p>
    <w:p w14:paraId="6AA15C17">
      <w:pPr>
        <w:pStyle w:val="2"/>
        <w:spacing w:before="249" w:line="367" w:lineRule="auto"/>
        <w:ind w:firstLine="636" w:firstLineChars="200"/>
        <w:jc w:val="left"/>
      </w:pPr>
      <w:r>
        <w:rPr>
          <w:rFonts w:hint="eastAsia"/>
          <w:spacing w:val="4"/>
          <w:lang w:eastAsia="zh-CN"/>
        </w:rPr>
        <w:t>2025</w:t>
      </w:r>
      <w:r>
        <w:rPr>
          <w:spacing w:val="4"/>
        </w:rPr>
        <w:t>年度一般公共预算财政拨款支出年初预算为</w:t>
      </w:r>
      <w:r>
        <w:rPr>
          <w:rFonts w:hint="eastAsia"/>
          <w:spacing w:val="4"/>
          <w:lang w:val="en-US" w:eastAsia="zh-CN"/>
        </w:rPr>
        <w:t>88.39</w:t>
      </w:r>
      <w:r>
        <w:rPr>
          <w:spacing w:val="4"/>
        </w:rPr>
        <w:t>万元，支出决算为</w:t>
      </w:r>
      <w:r>
        <w:rPr>
          <w:rFonts w:hint="eastAsia"/>
          <w:spacing w:val="4"/>
          <w:lang w:val="en-US" w:eastAsia="zh-CN"/>
        </w:rPr>
        <w:t>164.13</w:t>
      </w:r>
      <w:r>
        <w:rPr>
          <w:spacing w:val="4"/>
        </w:rPr>
        <w:t>万元，完成年初预算的</w:t>
      </w:r>
      <w:r>
        <w:rPr>
          <w:rFonts w:hint="eastAsia"/>
          <w:spacing w:val="4"/>
          <w:lang w:val="en-US" w:eastAsia="zh-CN"/>
        </w:rPr>
        <w:t>185.69</w:t>
      </w:r>
      <w:r>
        <w:rPr>
          <w:spacing w:val="4"/>
        </w:rPr>
        <w:t>%。</w:t>
      </w:r>
      <w:r>
        <w:rPr>
          <w:spacing w:val="1"/>
        </w:rPr>
        <w:t>其中：</w:t>
      </w:r>
    </w:p>
    <w:p w14:paraId="52063CC3">
      <w:pPr>
        <w:pStyle w:val="2"/>
        <w:spacing w:before="51" w:line="364" w:lineRule="auto"/>
        <w:ind w:left="26" w:right="160" w:firstLine="664"/>
        <w:jc w:val="left"/>
      </w:pPr>
      <w:r>
        <w:rPr>
          <w:spacing w:val="4"/>
        </w:rPr>
        <w:t>一般公共服务支出（类）政府办公厅（室）及机关机</w:t>
      </w:r>
      <w:r>
        <w:rPr>
          <w:spacing w:val="6"/>
        </w:rPr>
        <w:t>构事</w:t>
      </w:r>
      <w:r>
        <w:rPr>
          <w:rFonts w:hint="eastAsia"/>
          <w:spacing w:val="6"/>
          <w:lang w:eastAsia="zh-CN"/>
        </w:rPr>
        <w:t>务</w:t>
      </w:r>
      <w:r>
        <w:rPr>
          <w:spacing w:val="6"/>
        </w:rPr>
        <w:t>（款）行政运行（项）年初预算为</w:t>
      </w:r>
      <w:r>
        <w:rPr>
          <w:rFonts w:hint="eastAsia" w:ascii="宋体" w:hAnsi="宋体" w:eastAsia="宋体" w:cs="宋体"/>
          <w:spacing w:val="6"/>
          <w:lang w:val="en-US" w:eastAsia="zh-CN"/>
        </w:rPr>
        <w:t>88.39</w:t>
      </w:r>
      <w:r>
        <w:rPr>
          <w:spacing w:val="6"/>
        </w:rPr>
        <w:t>万元</w:t>
      </w:r>
      <w:r>
        <w:rPr>
          <w:rFonts w:hint="eastAsia"/>
          <w:spacing w:val="6"/>
          <w:lang w:eastAsia="zh-CN"/>
        </w:rPr>
        <w:t>，</w:t>
      </w:r>
      <w:r>
        <w:rPr>
          <w:spacing w:val="6"/>
        </w:rPr>
        <w:t>支出决算为</w:t>
      </w:r>
      <w:r>
        <w:rPr>
          <w:rFonts w:hint="eastAsia" w:ascii="宋体" w:hAnsi="宋体" w:eastAsia="宋体" w:cs="宋体"/>
          <w:spacing w:val="-3"/>
          <w:lang w:val="en-US" w:eastAsia="zh-CN"/>
        </w:rPr>
        <w:t>164.13</w:t>
      </w:r>
      <w:r>
        <w:rPr>
          <w:spacing w:val="6"/>
        </w:rPr>
        <w:t>万元，完成年初预算的</w:t>
      </w:r>
      <w:r>
        <w:rPr>
          <w:rFonts w:hint="eastAsia" w:ascii="宋体" w:hAnsi="宋体" w:eastAsia="宋体" w:cs="宋体"/>
          <w:spacing w:val="6"/>
          <w:lang w:val="en-US" w:eastAsia="zh-CN"/>
        </w:rPr>
        <w:t>185.69</w:t>
      </w:r>
      <w:r>
        <w:rPr>
          <w:rFonts w:ascii="宋体" w:hAnsi="宋体" w:eastAsia="宋体" w:cs="宋体"/>
          <w:spacing w:val="6"/>
        </w:rPr>
        <w:t>%</w:t>
      </w:r>
      <w:r>
        <w:rPr>
          <w:spacing w:val="6"/>
        </w:rPr>
        <w:t>。决算数</w:t>
      </w:r>
      <w:r>
        <w:rPr>
          <w:rFonts w:hint="eastAsia"/>
          <w:spacing w:val="6"/>
          <w:lang w:eastAsia="zh-CN"/>
        </w:rPr>
        <w:t>大</w:t>
      </w:r>
      <w:r>
        <w:rPr>
          <w:spacing w:val="6"/>
        </w:rPr>
        <w:t>于</w:t>
      </w:r>
      <w:r>
        <w:rPr>
          <w:spacing w:val="9"/>
        </w:rPr>
        <w:t>预算数的主要原因是</w:t>
      </w:r>
      <w:r>
        <w:rPr>
          <w:rFonts w:hint="eastAsia"/>
          <w:spacing w:val="9"/>
        </w:rPr>
        <w:t>本年增加了</w:t>
      </w:r>
      <w:r>
        <w:rPr>
          <w:rFonts w:hint="eastAsia"/>
          <w:spacing w:val="9"/>
          <w:lang w:eastAsia="zh-CN"/>
        </w:rPr>
        <w:t>驻京</w:t>
      </w:r>
      <w:r>
        <w:rPr>
          <w:rFonts w:hint="eastAsia"/>
          <w:spacing w:val="9"/>
        </w:rPr>
        <w:t>处访经费</w:t>
      </w:r>
      <w:r>
        <w:rPr>
          <w:spacing w:val="9"/>
        </w:rPr>
        <w:t>。</w:t>
      </w:r>
    </w:p>
    <w:p w14:paraId="381AFEF4">
      <w:pPr>
        <w:spacing w:before="50" w:line="226" w:lineRule="auto"/>
        <w:ind w:left="677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8"/>
          <w:sz w:val="31"/>
          <w:szCs w:val="31"/>
        </w:rPr>
        <w:t>六、一般公共预算财政拨款基本支出决算情况说明</w:t>
      </w:r>
    </w:p>
    <w:p w14:paraId="263752CB">
      <w:pPr>
        <w:pStyle w:val="2"/>
        <w:spacing w:before="244" w:line="357" w:lineRule="auto"/>
        <w:ind w:left="37" w:right="97" w:firstLine="633"/>
      </w:pPr>
      <w:r>
        <w:rPr>
          <w:rFonts w:hint="eastAsia" w:ascii="宋体" w:hAnsi="宋体" w:eastAsia="宋体" w:cs="宋体"/>
          <w:spacing w:val="16"/>
          <w:lang w:eastAsia="zh-CN"/>
        </w:rPr>
        <w:t>2025</w:t>
      </w:r>
      <w:r>
        <w:rPr>
          <w:spacing w:val="16"/>
        </w:rPr>
        <w:t>年度一般公共预算财政拨款基本支出</w:t>
      </w:r>
      <w:r>
        <w:rPr>
          <w:rFonts w:hint="eastAsia" w:ascii="宋体" w:hAnsi="宋体" w:eastAsia="宋体" w:cs="宋体"/>
          <w:spacing w:val="-8"/>
          <w:lang w:val="en-US" w:eastAsia="zh-CN"/>
        </w:rPr>
        <w:t>164.13</w:t>
      </w:r>
      <w:r>
        <w:rPr>
          <w:spacing w:val="16"/>
        </w:rPr>
        <w:t>万</w:t>
      </w:r>
      <w:r>
        <w:rPr>
          <w:spacing w:val="3"/>
        </w:rPr>
        <w:t>元，其中：</w:t>
      </w:r>
    </w:p>
    <w:p w14:paraId="79E2FC39">
      <w:pPr>
        <w:pStyle w:val="2"/>
        <w:spacing w:before="48" w:line="366" w:lineRule="auto"/>
        <w:ind w:left="26" w:firstLine="643"/>
        <w:jc w:val="both"/>
      </w:pPr>
      <w:r>
        <w:rPr>
          <w:b/>
          <w:bCs/>
          <w:spacing w:val="-8"/>
        </w:rPr>
        <w:t>人员经费</w:t>
      </w:r>
      <w:r>
        <w:rPr>
          <w:rFonts w:hint="eastAsia" w:ascii="宋体" w:hAnsi="宋体" w:eastAsia="宋体" w:cs="宋体"/>
          <w:b/>
          <w:bCs/>
          <w:spacing w:val="-8"/>
          <w:lang w:val="en-US" w:eastAsia="zh-CN"/>
        </w:rPr>
        <w:t>89.53</w:t>
      </w:r>
      <w:r>
        <w:rPr>
          <w:b/>
          <w:bCs/>
          <w:spacing w:val="-8"/>
        </w:rPr>
        <w:t>万元</w:t>
      </w:r>
      <w:r>
        <w:rPr>
          <w:spacing w:val="-8"/>
        </w:rPr>
        <w:t>，</w:t>
      </w:r>
      <w:r>
        <w:rPr>
          <w:spacing w:val="16"/>
        </w:rPr>
        <w:t>主要包括</w:t>
      </w:r>
      <w:r>
        <w:rPr>
          <w:rFonts w:hint="eastAsia"/>
          <w:spacing w:val="16"/>
          <w:lang w:val="en-US" w:eastAsia="zh-CN"/>
        </w:rPr>
        <w:t>：基本工资29.21万元、津贴补贴17.05万元、奖金9.23万元、机关事业单位基本养老保险缴费23.60万元、职业年金缴费1.46万元、职工基本医疗保险缴费3.13万元、其他社会保障缴费0.11</w:t>
      </w:r>
      <w:r>
        <w:rPr>
          <w:spacing w:val="16"/>
        </w:rPr>
        <w:t>万元、住房公积金5.</w:t>
      </w:r>
      <w:r>
        <w:rPr>
          <w:rFonts w:hint="eastAsia"/>
          <w:spacing w:val="16"/>
          <w:lang w:val="en-US" w:eastAsia="zh-CN"/>
        </w:rPr>
        <w:t>66</w:t>
      </w:r>
      <w:r>
        <w:rPr>
          <w:spacing w:val="16"/>
        </w:rPr>
        <w:t>万元。</w:t>
      </w:r>
      <w:r>
        <w:rPr>
          <w:b/>
          <w:bCs/>
          <w:spacing w:val="-8"/>
        </w:rPr>
        <w:t>公用经费</w:t>
      </w:r>
      <w:r>
        <w:rPr>
          <w:rFonts w:hint="eastAsia"/>
          <w:b/>
          <w:bCs/>
          <w:spacing w:val="-8"/>
          <w:lang w:val="en-US" w:eastAsia="zh-CN"/>
        </w:rPr>
        <w:t>74.60</w:t>
      </w:r>
      <w:r>
        <w:rPr>
          <w:b/>
          <w:bCs/>
          <w:spacing w:val="-8"/>
        </w:rPr>
        <w:t>万元</w:t>
      </w:r>
      <w:r>
        <w:rPr>
          <w:spacing w:val="7"/>
        </w:rPr>
        <w:t>，主要包括：办公费</w:t>
      </w:r>
      <w:r>
        <w:rPr>
          <w:rFonts w:hint="eastAsia" w:ascii="宋体" w:hAnsi="宋体" w:eastAsia="宋体" w:cs="宋体"/>
          <w:spacing w:val="7"/>
          <w:lang w:val="en-US" w:eastAsia="zh-CN"/>
        </w:rPr>
        <w:t>0.12</w:t>
      </w:r>
      <w:r>
        <w:rPr>
          <w:spacing w:val="7"/>
        </w:rPr>
        <w:t>万元、</w:t>
      </w:r>
      <w:r>
        <w:rPr>
          <w:spacing w:val="1"/>
        </w:rPr>
        <w:t>邮电费</w:t>
      </w:r>
      <w:r>
        <w:rPr>
          <w:rFonts w:ascii="宋体" w:hAnsi="宋体" w:eastAsia="宋体" w:cs="宋体"/>
          <w:spacing w:val="1"/>
        </w:rPr>
        <w:t>0.</w:t>
      </w:r>
      <w:r>
        <w:rPr>
          <w:rFonts w:hint="eastAsia" w:ascii="宋体" w:hAnsi="宋体" w:eastAsia="宋体" w:cs="宋体"/>
          <w:spacing w:val="1"/>
          <w:lang w:val="en-US" w:eastAsia="zh-CN"/>
        </w:rPr>
        <w:t>48</w:t>
      </w:r>
      <w:r>
        <w:rPr>
          <w:spacing w:val="1"/>
        </w:rPr>
        <w:t>万元</w:t>
      </w:r>
      <w:r>
        <w:t>、</w:t>
      </w:r>
      <w:r>
        <w:rPr>
          <w:rFonts w:hint="eastAsia"/>
          <w:lang w:eastAsia="zh-CN"/>
        </w:rPr>
        <w:t>差旅费</w:t>
      </w:r>
      <w:r>
        <w:rPr>
          <w:rFonts w:hint="eastAsia"/>
          <w:lang w:val="en-US" w:eastAsia="zh-CN"/>
        </w:rPr>
        <w:t>69.87万元、</w:t>
      </w:r>
      <w:r>
        <w:t>其他交通费用</w:t>
      </w:r>
      <w:r>
        <w:rPr>
          <w:rFonts w:hint="eastAsia" w:ascii="宋体" w:hAnsi="宋体" w:eastAsia="宋体" w:cs="宋体"/>
          <w:lang w:val="en-US" w:eastAsia="zh-CN"/>
        </w:rPr>
        <w:t>4.14</w:t>
      </w:r>
      <w:r>
        <w:rPr>
          <w:spacing w:val="-3"/>
        </w:rPr>
        <w:t>万元。</w:t>
      </w:r>
    </w:p>
    <w:p w14:paraId="325FF712">
      <w:pPr>
        <w:spacing w:before="43" w:line="226" w:lineRule="auto"/>
        <w:ind w:left="505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9"/>
          <w:sz w:val="31"/>
          <w:szCs w:val="31"/>
        </w:rPr>
        <w:t>七、政府性基金预算财政拨款收入支出决算情况说明</w:t>
      </w:r>
    </w:p>
    <w:p w14:paraId="4C37782C">
      <w:pPr>
        <w:pStyle w:val="2"/>
        <w:spacing w:before="245" w:line="362" w:lineRule="auto"/>
        <w:ind w:left="26" w:right="95" w:firstLine="483"/>
      </w:pPr>
      <w:r>
        <w:rPr>
          <w:rFonts w:hint="eastAsia" w:ascii="宋体" w:hAnsi="宋体" w:eastAsia="宋体" w:cs="宋体"/>
          <w:spacing w:val="35"/>
          <w:lang w:eastAsia="zh-CN"/>
        </w:rPr>
        <w:t>2025</w:t>
      </w:r>
      <w:r>
        <w:rPr>
          <w:spacing w:val="35"/>
        </w:rPr>
        <w:t>年度政府性基金预算财政拨款年初结转和结余</w:t>
      </w:r>
      <w:r>
        <w:rPr>
          <w:spacing w:val="11"/>
        </w:rPr>
        <w:t>万元；本年收入</w:t>
      </w:r>
      <w:r>
        <w:rPr>
          <w:rFonts w:ascii="宋体" w:hAnsi="宋体" w:eastAsia="宋体" w:cs="宋体"/>
          <w:spacing w:val="11"/>
        </w:rPr>
        <w:t>0</w:t>
      </w:r>
      <w:r>
        <w:rPr>
          <w:spacing w:val="11"/>
        </w:rPr>
        <w:t>万元，本年支出</w:t>
      </w:r>
      <w:r>
        <w:rPr>
          <w:rFonts w:ascii="宋体" w:hAnsi="宋体" w:eastAsia="宋体" w:cs="宋体"/>
          <w:spacing w:val="11"/>
        </w:rPr>
        <w:t>0</w:t>
      </w:r>
      <w:r>
        <w:rPr>
          <w:spacing w:val="11"/>
        </w:rPr>
        <w:t>万元，年末结转和结</w:t>
      </w:r>
      <w:r>
        <w:rPr>
          <w:spacing w:val="-6"/>
        </w:rPr>
        <w:t>余</w:t>
      </w:r>
      <w:r>
        <w:rPr>
          <w:rFonts w:ascii="宋体" w:hAnsi="宋体" w:eastAsia="宋体" w:cs="宋体"/>
          <w:spacing w:val="-6"/>
        </w:rPr>
        <w:t>0</w:t>
      </w:r>
      <w:r>
        <w:rPr>
          <w:spacing w:val="-6"/>
        </w:rPr>
        <w:t>万元。</w:t>
      </w:r>
    </w:p>
    <w:p w14:paraId="4D3FBBE3">
      <w:pPr>
        <w:spacing w:before="48" w:line="226" w:lineRule="auto"/>
        <w:ind w:left="746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9"/>
          <w:sz w:val="31"/>
          <w:szCs w:val="31"/>
        </w:rPr>
        <w:t>八、国有资本经营预算财政拨款支出决算情况说明</w:t>
      </w:r>
    </w:p>
    <w:p w14:paraId="17461230">
      <w:pPr>
        <w:pStyle w:val="2"/>
        <w:spacing w:before="245" w:line="219" w:lineRule="auto"/>
        <w:ind w:right="13" w:firstLine="648" w:firstLineChars="200"/>
        <w:jc w:val="both"/>
      </w:pPr>
      <w:r>
        <w:rPr>
          <w:rFonts w:hint="eastAsia" w:ascii="宋体" w:hAnsi="宋体" w:eastAsia="宋体" w:cs="宋体"/>
          <w:spacing w:val="7"/>
          <w:lang w:eastAsia="zh-CN"/>
        </w:rPr>
        <w:t>2025</w:t>
      </w:r>
      <w:r>
        <w:rPr>
          <w:spacing w:val="7"/>
        </w:rPr>
        <w:t>年度国有资本经营预算年初结转和结余</w:t>
      </w:r>
      <w:r>
        <w:rPr>
          <w:rFonts w:ascii="宋体" w:hAnsi="宋体" w:eastAsia="宋体" w:cs="宋体"/>
          <w:spacing w:val="7"/>
        </w:rPr>
        <w:t>0</w:t>
      </w:r>
      <w:r>
        <w:rPr>
          <w:spacing w:val="6"/>
        </w:rPr>
        <w:t>万元；</w:t>
      </w:r>
    </w:p>
    <w:p w14:paraId="6BDA6E74">
      <w:pPr>
        <w:pStyle w:val="2"/>
        <w:spacing w:before="256" w:line="359" w:lineRule="auto"/>
        <w:ind w:left="37" w:right="97" w:hanging="11"/>
        <w:jc w:val="left"/>
        <w:rPr>
          <w:spacing w:val="-8"/>
        </w:rPr>
      </w:pPr>
      <w:r>
        <w:rPr>
          <w:spacing w:val="7"/>
        </w:rPr>
        <w:t>本年收入</w:t>
      </w:r>
      <w:r>
        <w:rPr>
          <w:rFonts w:ascii="宋体" w:hAnsi="宋体" w:eastAsia="宋体" w:cs="宋体"/>
          <w:spacing w:val="7"/>
        </w:rPr>
        <w:t>0</w:t>
      </w:r>
      <w:r>
        <w:rPr>
          <w:spacing w:val="7"/>
        </w:rPr>
        <w:t>万元，本年支出</w:t>
      </w:r>
      <w:r>
        <w:rPr>
          <w:rFonts w:ascii="宋体" w:hAnsi="宋体" w:eastAsia="宋体" w:cs="宋体"/>
          <w:spacing w:val="7"/>
        </w:rPr>
        <w:t>0</w:t>
      </w:r>
      <w:r>
        <w:rPr>
          <w:spacing w:val="7"/>
        </w:rPr>
        <w:t>万元，年末结转和结余</w:t>
      </w:r>
      <w:r>
        <w:rPr>
          <w:rFonts w:ascii="宋体" w:hAnsi="宋体" w:eastAsia="宋体" w:cs="宋体"/>
          <w:spacing w:val="7"/>
        </w:rPr>
        <w:t>0</w:t>
      </w:r>
      <w:r>
        <w:rPr>
          <w:spacing w:val="7"/>
        </w:rPr>
        <w:t>万</w:t>
      </w:r>
      <w:r>
        <w:rPr>
          <w:spacing w:val="-8"/>
        </w:rPr>
        <w:t>元。</w:t>
      </w:r>
    </w:p>
    <w:p w14:paraId="5677C383">
      <w:pPr>
        <w:spacing w:before="100" w:line="226" w:lineRule="auto"/>
        <w:ind w:left="674"/>
        <w:outlineLvl w:val="2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8"/>
          <w:sz w:val="31"/>
          <w:szCs w:val="31"/>
        </w:rPr>
        <w:t>九、财政拨款“三公”经费支出决算情况说明</w:t>
      </w:r>
    </w:p>
    <w:p w14:paraId="11401840">
      <w:pPr>
        <w:pStyle w:val="2"/>
        <w:spacing w:before="244" w:line="222" w:lineRule="auto"/>
        <w:ind w:left="659"/>
        <w:outlineLvl w:val="1"/>
      </w:pPr>
      <w:r>
        <w:rPr>
          <w:spacing w:val="3"/>
        </w:rPr>
        <w:t>（一）“三公”经费财政拨款支出决算总体情况说明</w:t>
      </w:r>
    </w:p>
    <w:p w14:paraId="162E94BB">
      <w:pPr>
        <w:pStyle w:val="2"/>
        <w:spacing w:before="251" w:line="357" w:lineRule="auto"/>
        <w:ind w:left="34" w:right="160" w:firstLine="636"/>
      </w:pPr>
      <w:r>
        <w:rPr>
          <w:rFonts w:hint="eastAsia" w:ascii="宋体" w:hAnsi="宋体" w:eastAsia="宋体" w:cs="宋体"/>
          <w:spacing w:val="3"/>
          <w:lang w:eastAsia="zh-CN"/>
        </w:rPr>
        <w:t>2025</w:t>
      </w:r>
      <w:r>
        <w:rPr>
          <w:spacing w:val="3"/>
        </w:rPr>
        <w:t>年度“三公”经费财政拨款支出预算为</w:t>
      </w:r>
      <w:r>
        <w:rPr>
          <w:rFonts w:ascii="宋体" w:hAnsi="宋体" w:eastAsia="宋体" w:cs="宋体"/>
          <w:spacing w:val="3"/>
        </w:rPr>
        <w:t>0</w:t>
      </w:r>
      <w:r>
        <w:rPr>
          <w:spacing w:val="3"/>
        </w:rPr>
        <w:t>万元，</w:t>
      </w:r>
      <w:r>
        <w:rPr>
          <w:spacing w:val="5"/>
        </w:rPr>
        <w:t>支出决算为</w:t>
      </w:r>
      <w:r>
        <w:rPr>
          <w:rFonts w:ascii="宋体" w:hAnsi="宋体" w:eastAsia="宋体" w:cs="宋体"/>
          <w:spacing w:val="5"/>
        </w:rPr>
        <w:t>0</w:t>
      </w:r>
      <w:r>
        <w:rPr>
          <w:spacing w:val="5"/>
        </w:rPr>
        <w:t>万元，完成预算的</w:t>
      </w:r>
      <w:r>
        <w:rPr>
          <w:rFonts w:ascii="宋体" w:hAnsi="宋体" w:eastAsia="宋体" w:cs="宋体"/>
          <w:spacing w:val="5"/>
        </w:rPr>
        <w:t>0%</w:t>
      </w:r>
      <w:r>
        <w:rPr>
          <w:spacing w:val="5"/>
        </w:rPr>
        <w:t>。</w:t>
      </w:r>
    </w:p>
    <w:p w14:paraId="6E5BB188">
      <w:pPr>
        <w:pStyle w:val="2"/>
        <w:spacing w:before="49" w:line="222" w:lineRule="auto"/>
        <w:ind w:left="659"/>
      </w:pPr>
      <w:r>
        <w:rPr>
          <w:spacing w:val="3"/>
        </w:rPr>
        <w:t>（二）“三公”经费财政拨款支出决算具体情况说明</w:t>
      </w:r>
    </w:p>
    <w:p w14:paraId="302F8F4A">
      <w:pPr>
        <w:pStyle w:val="2"/>
        <w:spacing w:before="249" w:line="362" w:lineRule="auto"/>
        <w:ind w:left="37" w:firstLine="653"/>
      </w:pPr>
      <w:r>
        <w:rPr>
          <w:rFonts w:ascii="宋体" w:hAnsi="宋体" w:eastAsia="宋体" w:cs="宋体"/>
          <w:spacing w:val="10"/>
        </w:rPr>
        <w:t>1.</w:t>
      </w:r>
      <w:r>
        <w:rPr>
          <w:spacing w:val="10"/>
        </w:rPr>
        <w:t>因公出国（境）费预算为</w:t>
      </w:r>
      <w:r>
        <w:rPr>
          <w:rFonts w:ascii="宋体" w:hAnsi="宋体" w:eastAsia="宋体" w:cs="宋体"/>
          <w:spacing w:val="10"/>
        </w:rPr>
        <w:t>0</w:t>
      </w:r>
      <w:r>
        <w:rPr>
          <w:spacing w:val="10"/>
        </w:rPr>
        <w:t>万元</w:t>
      </w:r>
      <w:r>
        <w:rPr>
          <w:rFonts w:ascii="宋体" w:hAnsi="宋体" w:eastAsia="宋体" w:cs="宋体"/>
          <w:spacing w:val="10"/>
        </w:rPr>
        <w:t>,</w:t>
      </w:r>
      <w:r>
        <w:rPr>
          <w:spacing w:val="10"/>
        </w:rPr>
        <w:t>支出决算为</w:t>
      </w:r>
      <w:r>
        <w:rPr>
          <w:rFonts w:ascii="宋体" w:hAnsi="宋体" w:eastAsia="宋体" w:cs="宋体"/>
          <w:spacing w:val="9"/>
        </w:rPr>
        <w:t>0</w:t>
      </w:r>
      <w:r>
        <w:rPr>
          <w:spacing w:val="9"/>
        </w:rPr>
        <w:t>万</w:t>
      </w:r>
      <w:r>
        <w:rPr>
          <w:spacing w:val="2"/>
        </w:rPr>
        <w:t>元，完成预算的</w:t>
      </w:r>
      <w:r>
        <w:rPr>
          <w:rFonts w:ascii="宋体" w:hAnsi="宋体" w:eastAsia="宋体" w:cs="宋体"/>
          <w:spacing w:val="2"/>
        </w:rPr>
        <w:t>0%</w:t>
      </w:r>
      <w:r>
        <w:rPr>
          <w:spacing w:val="2"/>
        </w:rPr>
        <w:t>；全年共有因公出国（境）团组</w:t>
      </w:r>
      <w:r>
        <w:rPr>
          <w:rFonts w:ascii="宋体" w:hAnsi="宋体" w:eastAsia="宋体" w:cs="宋体"/>
          <w:spacing w:val="2"/>
        </w:rPr>
        <w:t>0</w:t>
      </w:r>
      <w:r>
        <w:rPr>
          <w:spacing w:val="2"/>
        </w:rPr>
        <w:t>个，</w:t>
      </w:r>
      <w:r>
        <w:rPr>
          <w:spacing w:val="6"/>
        </w:rPr>
        <w:t>因公出国（境）</w:t>
      </w:r>
      <w:r>
        <w:rPr>
          <w:rFonts w:ascii="宋体" w:hAnsi="宋体" w:eastAsia="宋体" w:cs="宋体"/>
          <w:spacing w:val="6"/>
        </w:rPr>
        <w:t>0</w:t>
      </w:r>
      <w:r>
        <w:rPr>
          <w:spacing w:val="6"/>
        </w:rPr>
        <w:t>人次。</w:t>
      </w:r>
    </w:p>
    <w:p w14:paraId="23F35D5A">
      <w:pPr>
        <w:pStyle w:val="2"/>
        <w:spacing w:before="50" w:line="357" w:lineRule="auto"/>
        <w:ind w:left="44" w:right="83" w:firstLine="627"/>
        <w:rPr>
          <w:spacing w:val="6"/>
        </w:rPr>
      </w:pPr>
      <w:r>
        <w:rPr>
          <w:rFonts w:ascii="宋体" w:hAnsi="宋体" w:eastAsia="宋体" w:cs="宋体"/>
          <w:spacing w:val="16"/>
        </w:rPr>
        <w:t>2.</w:t>
      </w:r>
      <w:r>
        <w:rPr>
          <w:spacing w:val="16"/>
        </w:rPr>
        <w:t>公务用车购置及运行费预算为</w:t>
      </w:r>
      <w:r>
        <w:rPr>
          <w:rFonts w:ascii="宋体" w:hAnsi="宋体" w:eastAsia="宋体" w:cs="宋体"/>
          <w:spacing w:val="16"/>
        </w:rPr>
        <w:t>0</w:t>
      </w:r>
      <w:r>
        <w:rPr>
          <w:spacing w:val="16"/>
        </w:rPr>
        <w:t>万元，支出决算为</w:t>
      </w:r>
      <w:r>
        <w:rPr>
          <w:spacing w:val="6"/>
        </w:rPr>
        <w:t>万元，完成预算的</w:t>
      </w:r>
      <w:r>
        <w:rPr>
          <w:rFonts w:ascii="宋体" w:hAnsi="宋体" w:eastAsia="宋体" w:cs="宋体"/>
          <w:spacing w:val="6"/>
        </w:rPr>
        <w:t>0%</w:t>
      </w:r>
      <w:r>
        <w:rPr>
          <w:spacing w:val="6"/>
        </w:rPr>
        <w:t>；其中：</w:t>
      </w:r>
    </w:p>
    <w:p w14:paraId="239FB539">
      <w:pPr>
        <w:pStyle w:val="2"/>
        <w:spacing w:before="50" w:line="357" w:lineRule="auto"/>
        <w:ind w:left="44" w:right="83" w:firstLine="627"/>
      </w:pPr>
      <w:r>
        <w:rPr>
          <w:spacing w:val="8"/>
        </w:rPr>
        <w:t>公务用车购置费支出</w:t>
      </w:r>
      <w:r>
        <w:rPr>
          <w:rFonts w:ascii="宋体" w:hAnsi="宋体" w:eastAsia="宋体" w:cs="宋体"/>
          <w:spacing w:val="8"/>
        </w:rPr>
        <w:t>0</w:t>
      </w:r>
      <w:r>
        <w:rPr>
          <w:spacing w:val="8"/>
        </w:rPr>
        <w:t>万元。截至</w:t>
      </w:r>
      <w:r>
        <w:rPr>
          <w:rFonts w:hint="eastAsia" w:ascii="宋体" w:hAnsi="宋体" w:eastAsia="宋体" w:cs="宋体"/>
          <w:spacing w:val="8"/>
          <w:lang w:eastAsia="zh-CN"/>
        </w:rPr>
        <w:t>2025</w:t>
      </w:r>
      <w:r>
        <w:rPr>
          <w:spacing w:val="8"/>
        </w:rPr>
        <w:t>年</w:t>
      </w:r>
      <w:r>
        <w:rPr>
          <w:rFonts w:ascii="宋体" w:hAnsi="宋体" w:eastAsia="宋体" w:cs="宋体"/>
          <w:spacing w:val="8"/>
        </w:rPr>
        <w:t>1</w:t>
      </w:r>
      <w:r>
        <w:rPr>
          <w:rFonts w:ascii="宋体" w:hAnsi="宋体" w:eastAsia="宋体" w:cs="宋体"/>
          <w:spacing w:val="7"/>
        </w:rPr>
        <w:t>2</w:t>
      </w:r>
      <w:r>
        <w:rPr>
          <w:spacing w:val="7"/>
        </w:rPr>
        <w:t>月</w:t>
      </w:r>
      <w:r>
        <w:rPr>
          <w:rFonts w:ascii="宋体" w:hAnsi="宋体" w:eastAsia="宋体" w:cs="宋体"/>
          <w:spacing w:val="7"/>
        </w:rPr>
        <w:t>31</w:t>
      </w:r>
      <w:r>
        <w:rPr>
          <w:spacing w:val="3"/>
        </w:rPr>
        <w:t>日，公务用车保有量为</w:t>
      </w:r>
      <w:r>
        <w:rPr>
          <w:rFonts w:ascii="宋体" w:hAnsi="宋体" w:eastAsia="宋体" w:cs="宋体"/>
          <w:spacing w:val="3"/>
        </w:rPr>
        <w:t>0</w:t>
      </w:r>
      <w:r>
        <w:rPr>
          <w:spacing w:val="3"/>
        </w:rPr>
        <w:t>辆</w:t>
      </w:r>
      <w:r>
        <w:rPr>
          <w:rFonts w:ascii="宋体" w:hAnsi="宋体" w:eastAsia="宋体" w:cs="宋体"/>
          <w:spacing w:val="3"/>
        </w:rPr>
        <w:t>,</w:t>
      </w:r>
      <w:r>
        <w:rPr>
          <w:spacing w:val="3"/>
        </w:rPr>
        <w:t>公务用车购置数为</w:t>
      </w:r>
      <w:r>
        <w:rPr>
          <w:rFonts w:ascii="宋体" w:hAnsi="宋体" w:eastAsia="宋体" w:cs="宋体"/>
          <w:spacing w:val="3"/>
        </w:rPr>
        <w:t>0</w:t>
      </w:r>
      <w:r>
        <w:rPr>
          <w:spacing w:val="3"/>
        </w:rPr>
        <w:t>辆。</w:t>
      </w:r>
    </w:p>
    <w:p w14:paraId="3EBB7490">
      <w:pPr>
        <w:pStyle w:val="2"/>
        <w:spacing w:before="54" w:line="220" w:lineRule="auto"/>
        <w:ind w:left="666"/>
      </w:pPr>
      <w:r>
        <w:rPr>
          <w:spacing w:val="5"/>
        </w:rPr>
        <w:t>公务用车运行维护费支出</w:t>
      </w:r>
      <w:r>
        <w:rPr>
          <w:rFonts w:ascii="宋体" w:hAnsi="宋体" w:eastAsia="宋体" w:cs="宋体"/>
          <w:spacing w:val="5"/>
        </w:rPr>
        <w:t>0</w:t>
      </w:r>
      <w:r>
        <w:rPr>
          <w:spacing w:val="5"/>
        </w:rPr>
        <w:t>万元。</w:t>
      </w:r>
    </w:p>
    <w:p w14:paraId="40FA5255">
      <w:pPr>
        <w:pStyle w:val="2"/>
        <w:spacing w:before="255" w:line="222" w:lineRule="auto"/>
        <w:jc w:val="right"/>
      </w:pPr>
      <w:r>
        <w:rPr>
          <w:spacing w:val="-7"/>
        </w:rPr>
        <w:t>公务接待费预算为</w:t>
      </w:r>
      <w:r>
        <w:rPr>
          <w:rFonts w:ascii="宋体" w:hAnsi="宋体" w:eastAsia="宋体" w:cs="宋体"/>
          <w:spacing w:val="-7"/>
        </w:rPr>
        <w:t>0</w:t>
      </w:r>
      <w:r>
        <w:rPr>
          <w:spacing w:val="-7"/>
        </w:rPr>
        <w:t>万元，支出决算为</w:t>
      </w:r>
      <w:r>
        <w:rPr>
          <w:rFonts w:ascii="宋体" w:hAnsi="宋体" w:eastAsia="宋体" w:cs="宋体"/>
          <w:spacing w:val="-7"/>
        </w:rPr>
        <w:t>0</w:t>
      </w:r>
      <w:r>
        <w:rPr>
          <w:spacing w:val="-7"/>
        </w:rPr>
        <w:t>万元，其中：</w:t>
      </w:r>
    </w:p>
    <w:p w14:paraId="0247282F">
      <w:pPr>
        <w:pStyle w:val="2"/>
        <w:spacing w:before="253" w:line="356" w:lineRule="auto"/>
        <w:ind w:left="29" w:right="81" w:firstLine="653"/>
      </w:pPr>
      <w:r>
        <w:rPr>
          <w:spacing w:val="14"/>
        </w:rPr>
        <w:t>外事接待费支出</w:t>
      </w:r>
      <w:r>
        <w:rPr>
          <w:rFonts w:ascii="宋体" w:hAnsi="宋体" w:eastAsia="宋体" w:cs="宋体"/>
          <w:spacing w:val="14"/>
        </w:rPr>
        <w:t>0</w:t>
      </w:r>
      <w:r>
        <w:rPr>
          <w:spacing w:val="14"/>
        </w:rPr>
        <w:t>万元。全年共接待外事来访团组数</w:t>
      </w:r>
      <w:r>
        <w:rPr>
          <w:spacing w:val="5"/>
        </w:rPr>
        <w:t>个、来访外宾</w:t>
      </w:r>
      <w:r>
        <w:rPr>
          <w:rFonts w:ascii="宋体" w:hAnsi="宋体" w:eastAsia="宋体" w:cs="宋体"/>
          <w:spacing w:val="5"/>
        </w:rPr>
        <w:t>0</w:t>
      </w:r>
      <w:r>
        <w:rPr>
          <w:spacing w:val="5"/>
        </w:rPr>
        <w:t>人次。</w:t>
      </w:r>
    </w:p>
    <w:p w14:paraId="750A9BD2">
      <w:pPr>
        <w:pStyle w:val="2"/>
        <w:spacing w:before="52" w:line="356" w:lineRule="auto"/>
        <w:ind w:left="59" w:right="83" w:firstLine="608"/>
      </w:pPr>
      <w:r>
        <w:rPr>
          <w:spacing w:val="10"/>
        </w:rPr>
        <w:t>其他国内公务接待支出</w:t>
      </w:r>
      <w:r>
        <w:rPr>
          <w:rFonts w:ascii="宋体" w:hAnsi="宋体" w:eastAsia="宋体" w:cs="宋体"/>
          <w:spacing w:val="10"/>
        </w:rPr>
        <w:t>0</w:t>
      </w:r>
      <w:r>
        <w:rPr>
          <w:spacing w:val="10"/>
        </w:rPr>
        <w:t>万元。全年共接待国内来访</w:t>
      </w:r>
      <w:r>
        <w:rPr>
          <w:spacing w:val="4"/>
        </w:rPr>
        <w:t>团组</w:t>
      </w:r>
      <w:r>
        <w:rPr>
          <w:rFonts w:ascii="宋体" w:hAnsi="宋体" w:eastAsia="宋体" w:cs="宋体"/>
          <w:spacing w:val="4"/>
        </w:rPr>
        <w:t>0</w:t>
      </w:r>
      <w:r>
        <w:rPr>
          <w:spacing w:val="4"/>
        </w:rPr>
        <w:t>个、来宾</w:t>
      </w:r>
      <w:r>
        <w:rPr>
          <w:rFonts w:ascii="宋体" w:hAnsi="宋体" w:eastAsia="宋体" w:cs="宋体"/>
          <w:spacing w:val="4"/>
        </w:rPr>
        <w:t>0</w:t>
      </w:r>
      <w:r>
        <w:rPr>
          <w:spacing w:val="4"/>
        </w:rPr>
        <w:t>人次（不包括陪同人员）。</w:t>
      </w:r>
    </w:p>
    <w:p w14:paraId="77833A18">
      <w:pPr>
        <w:spacing w:line="285" w:lineRule="auto"/>
        <w:rPr>
          <w:rFonts w:ascii="Arial"/>
          <w:sz w:val="21"/>
        </w:rPr>
      </w:pPr>
    </w:p>
    <w:p w14:paraId="4969B10E">
      <w:pPr>
        <w:spacing w:before="102" w:line="226" w:lineRule="auto"/>
        <w:ind w:left="750"/>
        <w:outlineLvl w:val="2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6"/>
          <w:sz w:val="31"/>
          <w:szCs w:val="31"/>
        </w:rPr>
        <w:t>十、关于</w:t>
      </w:r>
      <w:r>
        <w:rPr>
          <w:rFonts w:hint="eastAsia" w:ascii="黑体" w:hAnsi="黑体" w:eastAsia="黑体" w:cs="黑体"/>
          <w:spacing w:val="6"/>
          <w:sz w:val="31"/>
          <w:szCs w:val="31"/>
          <w:lang w:eastAsia="zh-CN"/>
        </w:rPr>
        <w:t>2025</w:t>
      </w:r>
      <w:r>
        <w:rPr>
          <w:rFonts w:ascii="黑体" w:hAnsi="黑体" w:eastAsia="黑体" w:cs="黑体"/>
          <w:spacing w:val="6"/>
          <w:sz w:val="31"/>
          <w:szCs w:val="31"/>
        </w:rPr>
        <w:t>年度绩效评价情况说明</w:t>
      </w:r>
    </w:p>
    <w:p w14:paraId="189049EF">
      <w:pPr>
        <w:pStyle w:val="2"/>
        <w:spacing w:before="246" w:line="296" w:lineRule="auto"/>
        <w:ind w:left="26" w:right="83" w:firstLine="632"/>
      </w:pPr>
      <w:r>
        <w:rPr>
          <w:spacing w:val="6"/>
        </w:rPr>
        <w:t>（一）绩效评价工作开展情况。绩效评价工作开</w:t>
      </w:r>
      <w:r>
        <w:rPr>
          <w:spacing w:val="5"/>
        </w:rPr>
        <w:t>展情况</w:t>
      </w:r>
      <w:r>
        <w:rPr>
          <w:spacing w:val="12"/>
        </w:rPr>
        <w:t>说明为：根据预算绩效管理要求，本部门组织对</w:t>
      </w:r>
      <w:r>
        <w:rPr>
          <w:rFonts w:hint="eastAsia" w:ascii="宋体" w:hAnsi="宋体" w:eastAsia="宋体" w:cs="宋体"/>
          <w:spacing w:val="12"/>
          <w:lang w:eastAsia="zh-CN"/>
        </w:rPr>
        <w:t>2025</w:t>
      </w:r>
      <w:r>
        <w:rPr>
          <w:spacing w:val="12"/>
        </w:rPr>
        <w:t>年度</w:t>
      </w:r>
      <w:r>
        <w:rPr>
          <w:spacing w:val="8"/>
        </w:rPr>
        <w:t>一般公共预算项目支出全面开展绩效自评，其中，一级项目</w:t>
      </w:r>
    </w:p>
    <w:p w14:paraId="213F8EC4">
      <w:pPr>
        <w:pStyle w:val="2"/>
        <w:spacing w:before="251" w:line="223" w:lineRule="auto"/>
        <w:ind w:left="29"/>
      </w:pPr>
      <w:r>
        <w:rPr>
          <w:rFonts w:ascii="宋体" w:hAnsi="宋体" w:eastAsia="宋体" w:cs="宋体"/>
          <w:spacing w:val="3"/>
        </w:rPr>
        <w:t>0</w:t>
      </w:r>
      <w:r>
        <w:rPr>
          <w:spacing w:val="3"/>
        </w:rPr>
        <w:t>个，二级项目</w:t>
      </w:r>
      <w:r>
        <w:rPr>
          <w:rFonts w:ascii="宋体" w:hAnsi="宋体" w:eastAsia="宋体" w:cs="宋体"/>
          <w:spacing w:val="3"/>
        </w:rPr>
        <w:t>0</w:t>
      </w:r>
      <w:r>
        <w:rPr>
          <w:spacing w:val="3"/>
        </w:rPr>
        <w:t>个，共涉及资金</w:t>
      </w:r>
      <w:r>
        <w:rPr>
          <w:rFonts w:ascii="宋体" w:hAnsi="宋体" w:eastAsia="宋体" w:cs="宋体"/>
          <w:spacing w:val="3"/>
        </w:rPr>
        <w:t>0</w:t>
      </w:r>
      <w:r>
        <w:rPr>
          <w:spacing w:val="3"/>
        </w:rPr>
        <w:t>万元。</w:t>
      </w:r>
    </w:p>
    <w:p w14:paraId="2439686B">
      <w:pPr>
        <w:spacing w:before="248" w:line="226" w:lineRule="auto"/>
        <w:ind w:left="671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8"/>
          <w:sz w:val="31"/>
          <w:szCs w:val="31"/>
        </w:rPr>
        <w:t>十一、其他重要事项情况说明</w:t>
      </w:r>
    </w:p>
    <w:p w14:paraId="68438AC0">
      <w:pPr>
        <w:pStyle w:val="2"/>
        <w:spacing w:before="245" w:line="221" w:lineRule="auto"/>
        <w:ind w:left="659"/>
      </w:pPr>
      <w:r>
        <w:rPr>
          <w:spacing w:val="4"/>
        </w:rPr>
        <w:t>（一）机关运行经费执行情况说明</w:t>
      </w:r>
    </w:p>
    <w:p w14:paraId="029FB212">
      <w:pPr>
        <w:pStyle w:val="2"/>
        <w:spacing w:before="251" w:line="362" w:lineRule="auto"/>
        <w:ind w:left="26" w:right="16" w:firstLine="644"/>
        <w:jc w:val="both"/>
      </w:pPr>
      <w:r>
        <w:rPr>
          <w:rFonts w:hint="eastAsia" w:ascii="宋体" w:hAnsi="宋体" w:eastAsia="宋体" w:cs="宋体"/>
          <w:spacing w:val="7"/>
          <w:lang w:eastAsia="zh-CN"/>
        </w:rPr>
        <w:t>2025</w:t>
      </w:r>
      <w:r>
        <w:rPr>
          <w:spacing w:val="7"/>
        </w:rPr>
        <w:t>年度机关运行经费支出</w:t>
      </w:r>
      <w:r>
        <w:rPr>
          <w:rFonts w:hint="eastAsia"/>
          <w:spacing w:val="7"/>
          <w:lang w:val="en-US" w:eastAsia="zh-CN"/>
        </w:rPr>
        <w:t>74.6</w:t>
      </w:r>
      <w:r>
        <w:rPr>
          <w:spacing w:val="7"/>
        </w:rPr>
        <w:t>万元，较</w:t>
      </w:r>
      <w:r>
        <w:rPr>
          <w:rFonts w:hint="eastAsia" w:ascii="宋体" w:hAnsi="宋体" w:eastAsia="宋体" w:cs="宋体"/>
          <w:spacing w:val="7"/>
          <w:lang w:eastAsia="zh-CN"/>
        </w:rPr>
        <w:t>2024</w:t>
      </w:r>
      <w:r>
        <w:rPr>
          <w:spacing w:val="7"/>
        </w:rPr>
        <w:t>年度</w:t>
      </w:r>
      <w:r>
        <w:rPr>
          <w:rFonts w:hint="eastAsia"/>
          <w:spacing w:val="7"/>
          <w:lang w:eastAsia="zh-CN"/>
        </w:rPr>
        <w:t>增加</w:t>
      </w:r>
      <w:r>
        <w:rPr>
          <w:rFonts w:hint="eastAsia"/>
          <w:spacing w:val="7"/>
          <w:lang w:val="en-US" w:eastAsia="zh-CN"/>
        </w:rPr>
        <w:t>69.42</w:t>
      </w:r>
      <w:r>
        <w:rPr>
          <w:spacing w:val="7"/>
        </w:rPr>
        <w:t>万元，</w:t>
      </w:r>
      <w:r>
        <w:rPr>
          <w:rFonts w:hint="eastAsia"/>
          <w:spacing w:val="7"/>
          <w:lang w:eastAsia="zh-CN"/>
        </w:rPr>
        <w:t>上升</w:t>
      </w:r>
      <w:r>
        <w:rPr>
          <w:rFonts w:ascii="宋体" w:hAnsi="宋体" w:eastAsia="宋体" w:cs="宋体"/>
          <w:spacing w:val="7"/>
        </w:rPr>
        <w:t>1</w:t>
      </w:r>
      <w:r>
        <w:rPr>
          <w:rFonts w:hint="eastAsia" w:ascii="宋体" w:hAnsi="宋体" w:eastAsia="宋体" w:cs="宋体"/>
          <w:spacing w:val="7"/>
          <w:lang w:val="en-US" w:eastAsia="zh-CN"/>
        </w:rPr>
        <w:t>340.7</w:t>
      </w:r>
      <w:r>
        <w:rPr>
          <w:rFonts w:ascii="宋体" w:hAnsi="宋体" w:eastAsia="宋体" w:cs="宋体"/>
          <w:spacing w:val="7"/>
        </w:rPr>
        <w:t>%</w:t>
      </w:r>
      <w:r>
        <w:rPr>
          <w:spacing w:val="7"/>
        </w:rPr>
        <w:t>，主要是</w:t>
      </w:r>
      <w:r>
        <w:rPr>
          <w:rFonts w:hint="eastAsia"/>
          <w:spacing w:val="7"/>
        </w:rPr>
        <w:t>本年增加了处访经费</w:t>
      </w:r>
      <w:r>
        <w:rPr>
          <w:spacing w:val="5"/>
        </w:rPr>
        <w:t>。</w:t>
      </w:r>
    </w:p>
    <w:p w14:paraId="5F7C3EDE">
      <w:pPr>
        <w:pStyle w:val="2"/>
        <w:spacing w:before="51" w:line="222" w:lineRule="auto"/>
        <w:ind w:left="659"/>
      </w:pPr>
      <w:r>
        <w:rPr>
          <w:spacing w:val="3"/>
        </w:rPr>
        <w:t>（二）政府采购支出情况说明</w:t>
      </w:r>
    </w:p>
    <w:p w14:paraId="7EECE891">
      <w:pPr>
        <w:pStyle w:val="2"/>
        <w:spacing w:before="249" w:line="368" w:lineRule="auto"/>
        <w:ind w:left="29" w:right="13" w:firstLine="642"/>
      </w:pPr>
      <w:r>
        <w:rPr>
          <w:rFonts w:hint="eastAsia" w:ascii="宋体" w:hAnsi="宋体" w:eastAsia="宋体" w:cs="宋体"/>
          <w:spacing w:val="12"/>
          <w:lang w:eastAsia="zh-CN"/>
        </w:rPr>
        <w:t>2025</w:t>
      </w:r>
      <w:r>
        <w:rPr>
          <w:spacing w:val="12"/>
        </w:rPr>
        <w:t>年度政府采购支出总额</w:t>
      </w:r>
      <w:r>
        <w:rPr>
          <w:rFonts w:ascii="宋体" w:hAnsi="宋体" w:eastAsia="宋体" w:cs="宋体"/>
          <w:spacing w:val="12"/>
        </w:rPr>
        <w:t>0</w:t>
      </w:r>
      <w:r>
        <w:rPr>
          <w:spacing w:val="12"/>
        </w:rPr>
        <w:t>万元，其中：政府</w:t>
      </w:r>
      <w:r>
        <w:rPr>
          <w:spacing w:val="11"/>
        </w:rPr>
        <w:t>采购</w:t>
      </w:r>
      <w:r>
        <w:rPr>
          <w:spacing w:val="3"/>
        </w:rPr>
        <w:t>货物支出</w:t>
      </w:r>
      <w:r>
        <w:rPr>
          <w:rFonts w:ascii="宋体" w:hAnsi="宋体" w:eastAsia="宋体" w:cs="宋体"/>
          <w:spacing w:val="3"/>
        </w:rPr>
        <w:t>0</w:t>
      </w:r>
      <w:r>
        <w:rPr>
          <w:spacing w:val="3"/>
        </w:rPr>
        <w:t>万元、政府采购工程支出</w:t>
      </w:r>
      <w:r>
        <w:rPr>
          <w:rFonts w:ascii="宋体" w:hAnsi="宋体" w:eastAsia="宋体" w:cs="宋体"/>
          <w:spacing w:val="3"/>
        </w:rPr>
        <w:t>0</w:t>
      </w:r>
      <w:r>
        <w:rPr>
          <w:spacing w:val="3"/>
        </w:rPr>
        <w:t>万元、政</w:t>
      </w:r>
      <w:r>
        <w:rPr>
          <w:spacing w:val="2"/>
        </w:rPr>
        <w:t>府采购服</w:t>
      </w:r>
      <w:r>
        <w:rPr>
          <w:spacing w:val="4"/>
        </w:rPr>
        <w:t>务支出</w:t>
      </w:r>
      <w:r>
        <w:rPr>
          <w:rFonts w:ascii="宋体" w:hAnsi="宋体" w:eastAsia="宋体" w:cs="宋体"/>
          <w:spacing w:val="4"/>
        </w:rPr>
        <w:t>0</w:t>
      </w:r>
      <w:r>
        <w:rPr>
          <w:spacing w:val="4"/>
        </w:rPr>
        <w:t>万元。授予中小企业合同金额</w:t>
      </w:r>
      <w:r>
        <w:rPr>
          <w:rFonts w:ascii="宋体" w:hAnsi="宋体" w:eastAsia="宋体" w:cs="宋体"/>
          <w:spacing w:val="4"/>
        </w:rPr>
        <w:t>0</w:t>
      </w:r>
      <w:r>
        <w:rPr>
          <w:spacing w:val="4"/>
        </w:rPr>
        <w:t>万</w:t>
      </w:r>
      <w:r>
        <w:rPr>
          <w:spacing w:val="3"/>
        </w:rPr>
        <w:t>元，占政府采</w:t>
      </w:r>
      <w:r>
        <w:rPr>
          <w:spacing w:val="13"/>
        </w:rPr>
        <w:t>购支出总额的</w:t>
      </w:r>
      <w:r>
        <w:rPr>
          <w:rFonts w:ascii="宋体" w:hAnsi="宋体" w:eastAsia="宋体" w:cs="宋体"/>
          <w:spacing w:val="13"/>
        </w:rPr>
        <w:t>%</w:t>
      </w:r>
      <w:r>
        <w:rPr>
          <w:spacing w:val="13"/>
        </w:rPr>
        <w:t>，其中：授予小微企业合</w:t>
      </w:r>
      <w:r>
        <w:rPr>
          <w:spacing w:val="12"/>
        </w:rPr>
        <w:t>同金额</w:t>
      </w:r>
      <w:r>
        <w:rPr>
          <w:rFonts w:ascii="宋体" w:hAnsi="宋体" w:eastAsia="宋体" w:cs="宋体"/>
          <w:spacing w:val="12"/>
        </w:rPr>
        <w:t>0</w:t>
      </w:r>
      <w:r>
        <w:rPr>
          <w:spacing w:val="12"/>
        </w:rPr>
        <w:t>万元，</w:t>
      </w:r>
      <w:r>
        <w:rPr>
          <w:spacing w:val="10"/>
        </w:rPr>
        <w:t>占授予中小企业合同金额的</w:t>
      </w:r>
      <w:r>
        <w:rPr>
          <w:rFonts w:ascii="宋体" w:hAnsi="宋体" w:eastAsia="宋体" w:cs="宋体"/>
          <w:spacing w:val="10"/>
        </w:rPr>
        <w:t>0%</w:t>
      </w:r>
      <w:r>
        <w:rPr>
          <w:spacing w:val="10"/>
        </w:rPr>
        <w:t>；货物采购授予中小企业合同金额占货物支出金额的</w:t>
      </w:r>
      <w:r>
        <w:rPr>
          <w:rFonts w:ascii="宋体" w:hAnsi="宋体" w:eastAsia="宋体" w:cs="宋体"/>
          <w:spacing w:val="10"/>
        </w:rPr>
        <w:t>0%</w:t>
      </w:r>
      <w:r>
        <w:rPr>
          <w:spacing w:val="10"/>
        </w:rPr>
        <w:t>，工程采购授予中小企业合同</w:t>
      </w:r>
      <w:r>
        <w:rPr>
          <w:spacing w:val="14"/>
        </w:rPr>
        <w:t>金额占工程支出金额的</w:t>
      </w:r>
      <w:r>
        <w:rPr>
          <w:rFonts w:ascii="宋体" w:hAnsi="宋体" w:eastAsia="宋体" w:cs="宋体"/>
          <w:spacing w:val="14"/>
        </w:rPr>
        <w:t>0%</w:t>
      </w:r>
      <w:r>
        <w:rPr>
          <w:spacing w:val="14"/>
        </w:rPr>
        <w:t>，服务采购授予中小企业合同金</w:t>
      </w:r>
      <w:r>
        <w:rPr>
          <w:spacing w:val="5"/>
        </w:rPr>
        <w:t>额占服务支出金额的</w:t>
      </w:r>
      <w:r>
        <w:rPr>
          <w:rFonts w:ascii="宋体" w:hAnsi="宋体" w:eastAsia="宋体" w:cs="宋体"/>
          <w:spacing w:val="5"/>
        </w:rPr>
        <w:t>0%</w:t>
      </w:r>
      <w:r>
        <w:rPr>
          <w:spacing w:val="5"/>
        </w:rPr>
        <w:t>。。</w:t>
      </w:r>
    </w:p>
    <w:p w14:paraId="740B2544">
      <w:pPr>
        <w:pStyle w:val="2"/>
        <w:spacing w:before="50" w:line="222" w:lineRule="auto"/>
        <w:ind w:left="659"/>
      </w:pPr>
      <w:r>
        <w:rPr>
          <w:spacing w:val="3"/>
        </w:rPr>
        <w:t>（三）国有资产占用情况说明</w:t>
      </w:r>
    </w:p>
    <w:p w14:paraId="14139171">
      <w:pPr>
        <w:pStyle w:val="2"/>
        <w:spacing w:before="287" w:line="339" w:lineRule="auto"/>
        <w:ind w:left="26" w:right="16" w:firstLine="645"/>
      </w:pPr>
      <w:r>
        <w:rPr>
          <w:spacing w:val="4"/>
        </w:rPr>
        <w:t>截至</w:t>
      </w:r>
      <w:r>
        <w:rPr>
          <w:rFonts w:hint="eastAsia" w:ascii="宋体" w:hAnsi="宋体" w:eastAsia="宋体" w:cs="宋体"/>
          <w:spacing w:val="4"/>
          <w:lang w:eastAsia="zh-CN"/>
        </w:rPr>
        <w:t>2025</w:t>
      </w:r>
      <w:r>
        <w:rPr>
          <w:spacing w:val="4"/>
        </w:rPr>
        <w:t>年</w:t>
      </w:r>
      <w:r>
        <w:rPr>
          <w:rFonts w:ascii="宋体" w:hAnsi="宋体" w:eastAsia="宋体" w:cs="宋体"/>
          <w:spacing w:val="4"/>
        </w:rPr>
        <w:t>12</w:t>
      </w:r>
      <w:r>
        <w:rPr>
          <w:spacing w:val="4"/>
        </w:rPr>
        <w:t>月</w:t>
      </w:r>
      <w:r>
        <w:rPr>
          <w:rFonts w:ascii="宋体" w:hAnsi="宋体" w:eastAsia="宋体" w:cs="宋体"/>
          <w:spacing w:val="4"/>
        </w:rPr>
        <w:t>31</w:t>
      </w:r>
      <w:r>
        <w:rPr>
          <w:spacing w:val="4"/>
        </w:rPr>
        <w:t>日，通化市东昌区信访局本级共</w:t>
      </w:r>
      <w:r>
        <w:rPr>
          <w:spacing w:val="12"/>
        </w:rPr>
        <w:t>有车辆</w:t>
      </w:r>
      <w:r>
        <w:rPr>
          <w:rFonts w:ascii="宋体" w:hAnsi="宋体" w:eastAsia="宋体" w:cs="宋体"/>
          <w:spacing w:val="12"/>
        </w:rPr>
        <w:t>0</w:t>
      </w:r>
      <w:r>
        <w:rPr>
          <w:spacing w:val="12"/>
        </w:rPr>
        <w:t>辆，其中，副部（省）级及以上领导用车</w:t>
      </w:r>
      <w:r>
        <w:rPr>
          <w:rFonts w:ascii="宋体" w:hAnsi="宋体" w:eastAsia="宋体" w:cs="宋体"/>
          <w:spacing w:val="12"/>
        </w:rPr>
        <w:t>0</w:t>
      </w:r>
      <w:r>
        <w:rPr>
          <w:spacing w:val="12"/>
        </w:rPr>
        <w:t>辆、</w:t>
      </w:r>
      <w:r>
        <w:rPr>
          <w:spacing w:val="6"/>
        </w:rPr>
        <w:t>主要负责人用车</w:t>
      </w:r>
      <w:r>
        <w:rPr>
          <w:rFonts w:ascii="宋体" w:hAnsi="宋体" w:eastAsia="宋体" w:cs="宋体"/>
          <w:spacing w:val="6"/>
        </w:rPr>
        <w:t>0</w:t>
      </w:r>
      <w:r>
        <w:rPr>
          <w:spacing w:val="6"/>
        </w:rPr>
        <w:t>辆、机要通信用车</w:t>
      </w:r>
      <w:r>
        <w:rPr>
          <w:rFonts w:ascii="宋体" w:hAnsi="宋体" w:eastAsia="宋体" w:cs="宋体"/>
          <w:spacing w:val="6"/>
        </w:rPr>
        <w:t>0</w:t>
      </w:r>
      <w:r>
        <w:rPr>
          <w:spacing w:val="6"/>
        </w:rPr>
        <w:t>辆、应急保障用车</w:t>
      </w:r>
      <w:r>
        <w:rPr>
          <w:rFonts w:ascii="宋体" w:hAnsi="宋体" w:eastAsia="宋体" w:cs="宋体"/>
          <w:spacing w:val="6"/>
        </w:rPr>
        <w:t>0</w:t>
      </w:r>
      <w:r>
        <w:rPr>
          <w:spacing w:val="10"/>
        </w:rPr>
        <w:t>辆、执法执勤用车</w:t>
      </w:r>
      <w:r>
        <w:rPr>
          <w:rFonts w:ascii="宋体" w:hAnsi="宋体" w:eastAsia="宋体" w:cs="宋体"/>
          <w:spacing w:val="10"/>
        </w:rPr>
        <w:t>0</w:t>
      </w:r>
      <w:r>
        <w:rPr>
          <w:spacing w:val="10"/>
        </w:rPr>
        <w:t>辆、特种专业技术用车</w:t>
      </w:r>
      <w:r>
        <w:rPr>
          <w:rFonts w:ascii="宋体" w:hAnsi="宋体" w:eastAsia="宋体" w:cs="宋体"/>
          <w:spacing w:val="10"/>
        </w:rPr>
        <w:t>0</w:t>
      </w:r>
      <w:r>
        <w:rPr>
          <w:spacing w:val="10"/>
        </w:rPr>
        <w:t>辆、离</w:t>
      </w:r>
      <w:r>
        <w:rPr>
          <w:spacing w:val="9"/>
        </w:rPr>
        <w:t>退休干</w:t>
      </w:r>
      <w:r>
        <w:rPr>
          <w:spacing w:val="1"/>
        </w:rPr>
        <w:t>部用车</w:t>
      </w:r>
      <w:r>
        <w:rPr>
          <w:rFonts w:ascii="宋体" w:hAnsi="宋体" w:eastAsia="宋体" w:cs="宋体"/>
          <w:spacing w:val="1"/>
        </w:rPr>
        <w:t>0</w:t>
      </w:r>
      <w:r>
        <w:rPr>
          <w:spacing w:val="1"/>
        </w:rPr>
        <w:t>辆、其他用车</w:t>
      </w:r>
      <w:r>
        <w:rPr>
          <w:rFonts w:ascii="宋体" w:hAnsi="宋体" w:eastAsia="宋体" w:cs="宋体"/>
          <w:spacing w:val="1"/>
        </w:rPr>
        <w:t>0</w:t>
      </w:r>
      <w:r>
        <w:rPr>
          <w:spacing w:val="1"/>
        </w:rPr>
        <w:t>辆，单位价值</w:t>
      </w:r>
      <w:r>
        <w:rPr>
          <w:rFonts w:ascii="宋体" w:hAnsi="宋体" w:eastAsia="宋体" w:cs="宋体"/>
          <w:spacing w:val="1"/>
        </w:rPr>
        <w:t>100</w:t>
      </w:r>
      <w:r>
        <w:rPr>
          <w:spacing w:val="1"/>
        </w:rPr>
        <w:t>万元（含）以上</w:t>
      </w:r>
    </w:p>
    <w:p w14:paraId="00C10148">
      <w:pPr>
        <w:pStyle w:val="2"/>
        <w:spacing w:before="100" w:line="220" w:lineRule="auto"/>
        <w:ind w:left="26"/>
        <w:rPr>
          <w:spacing w:val="1"/>
        </w:rPr>
      </w:pPr>
      <w:r>
        <w:rPr>
          <w:spacing w:val="1"/>
        </w:rPr>
        <w:t>设备（不含车辆）</w:t>
      </w:r>
      <w:r>
        <w:rPr>
          <w:rFonts w:ascii="宋体" w:hAnsi="宋体" w:eastAsia="宋体" w:cs="宋体"/>
          <w:spacing w:val="1"/>
        </w:rPr>
        <w:t>0</w:t>
      </w:r>
      <w:r>
        <w:rPr>
          <w:spacing w:val="1"/>
        </w:rPr>
        <w:t>台（套）。</w:t>
      </w:r>
    </w:p>
    <w:p w14:paraId="40AC5967">
      <w:pPr>
        <w:pStyle w:val="2"/>
        <w:spacing w:before="100" w:line="220" w:lineRule="auto"/>
        <w:ind w:left="26"/>
        <w:rPr>
          <w:spacing w:val="1"/>
        </w:rPr>
      </w:pPr>
    </w:p>
    <w:p w14:paraId="1F2F5024">
      <w:pPr>
        <w:spacing w:before="243" w:line="446" w:lineRule="exact"/>
        <w:ind w:left="2186"/>
        <w:outlineLvl w:val="0"/>
        <w:rPr>
          <w:rFonts w:ascii="微软雅黑" w:hAnsi="微软雅黑" w:eastAsia="微软雅黑" w:cs="微软雅黑"/>
          <w:sz w:val="44"/>
          <w:szCs w:val="44"/>
        </w:rPr>
      </w:pPr>
      <w:bookmarkStart w:id="0" w:name="_GoBack"/>
      <w:bookmarkEnd w:id="0"/>
      <w:r>
        <w:rPr>
          <w:rFonts w:ascii="微软雅黑" w:hAnsi="微软雅黑" w:eastAsia="微软雅黑" w:cs="微软雅黑"/>
          <w:spacing w:val="-1"/>
          <w:position w:val="-2"/>
          <w:sz w:val="44"/>
          <w:szCs w:val="44"/>
        </w:rPr>
        <w:t>第四部分名词解释</w:t>
      </w:r>
    </w:p>
    <w:p w14:paraId="38E20975">
      <w:pPr>
        <w:spacing w:line="318" w:lineRule="auto"/>
        <w:rPr>
          <w:rFonts w:ascii="Arial"/>
          <w:sz w:val="21"/>
        </w:rPr>
      </w:pPr>
    </w:p>
    <w:p w14:paraId="029FF06F">
      <w:pPr>
        <w:pStyle w:val="2"/>
        <w:spacing w:before="101" w:line="297" w:lineRule="auto"/>
        <w:ind w:left="38" w:right="14" w:firstLine="648"/>
      </w:pPr>
      <w:r>
        <w:rPr>
          <w:b/>
          <w:bCs/>
          <w:spacing w:val="6"/>
        </w:rPr>
        <w:t>一、财政拨款收入：</w:t>
      </w:r>
      <w:r>
        <w:rPr>
          <w:spacing w:val="6"/>
        </w:rPr>
        <w:t>指单位从同级财政部门取得的财政</w:t>
      </w:r>
      <w:r>
        <w:rPr>
          <w:spacing w:val="2"/>
        </w:rPr>
        <w:t>预算资金。</w:t>
      </w:r>
    </w:p>
    <w:p w14:paraId="2F9B263A">
      <w:pPr>
        <w:pStyle w:val="2"/>
        <w:spacing w:before="246" w:line="347" w:lineRule="auto"/>
        <w:ind w:left="29" w:right="13" w:firstLine="655"/>
      </w:pPr>
      <w:r>
        <w:rPr>
          <w:b/>
          <w:bCs/>
          <w:spacing w:val="7"/>
        </w:rPr>
        <w:t>二、其他收入：</w:t>
      </w:r>
      <w:r>
        <w:rPr>
          <w:spacing w:val="7"/>
        </w:rPr>
        <w:t>指除上述收入以外的各项收入。包括未</w:t>
      </w:r>
      <w:r>
        <w:rPr>
          <w:spacing w:val="9"/>
        </w:rPr>
        <w:t>纳入财政预算或财政专户管理的投资收益、</w:t>
      </w:r>
      <w:r>
        <w:rPr>
          <w:spacing w:val="8"/>
        </w:rPr>
        <w:t>银行存款利息收</w:t>
      </w:r>
      <w:r>
        <w:rPr>
          <w:spacing w:val="9"/>
        </w:rPr>
        <w:t>入、租金收入、捐赠收入，现金盘盈收入、存货盘</w:t>
      </w:r>
      <w:r>
        <w:rPr>
          <w:spacing w:val="8"/>
        </w:rPr>
        <w:t>盈收入、</w:t>
      </w:r>
      <w:r>
        <w:rPr>
          <w:spacing w:val="9"/>
        </w:rPr>
        <w:t>收回已核销应收及预付款项、无法偿付的应付及预</w:t>
      </w:r>
      <w:r>
        <w:rPr>
          <w:spacing w:val="8"/>
        </w:rPr>
        <w:t>收款项，</w:t>
      </w:r>
      <w:r>
        <w:rPr>
          <w:spacing w:val="9"/>
        </w:rPr>
        <w:t>从省财政以外的同级单位取得的经费、从非省财政</w:t>
      </w:r>
      <w:r>
        <w:rPr>
          <w:spacing w:val="8"/>
        </w:rPr>
        <w:t>取得的经</w:t>
      </w:r>
      <w:r>
        <w:rPr>
          <w:spacing w:val="5"/>
        </w:rPr>
        <w:t>费，以及行政单位收到的财政专户管理资金等。</w:t>
      </w:r>
    </w:p>
    <w:p w14:paraId="696BE5F8">
      <w:pPr>
        <w:pStyle w:val="2"/>
        <w:spacing w:before="253" w:line="322" w:lineRule="auto"/>
        <w:ind w:left="27" w:right="16" w:firstLine="663"/>
      </w:pPr>
      <w:r>
        <w:rPr>
          <w:b/>
          <w:bCs/>
          <w:spacing w:val="5"/>
        </w:rPr>
        <w:t>三、使用非财政拨款结余（含专用结余</w:t>
      </w:r>
      <w:r>
        <w:rPr>
          <w:b/>
          <w:bCs/>
          <w:spacing w:val="8"/>
        </w:rPr>
        <w:t>）：</w:t>
      </w:r>
      <w:r>
        <w:rPr>
          <w:spacing w:val="5"/>
        </w:rPr>
        <w:t>指事</w:t>
      </w:r>
      <w:r>
        <w:rPr>
          <w:spacing w:val="4"/>
        </w:rPr>
        <w:t>业单位</w:t>
      </w:r>
      <w:r>
        <w:rPr>
          <w:spacing w:val="21"/>
        </w:rPr>
        <w:t>按照预算管理要求使用非财政拨款结余弥补收支差额的金</w:t>
      </w:r>
      <w:r>
        <w:rPr>
          <w:spacing w:val="4"/>
        </w:rPr>
        <w:t>额，以及使用专用结余安排支出的金额。</w:t>
      </w:r>
    </w:p>
    <w:p w14:paraId="4D0FE3FC">
      <w:pPr>
        <w:pStyle w:val="2"/>
        <w:spacing w:before="250" w:line="362" w:lineRule="auto"/>
        <w:ind w:left="40" w:right="16" w:firstLine="664"/>
        <w:jc w:val="both"/>
      </w:pPr>
      <w:r>
        <w:rPr>
          <w:b/>
          <w:bCs/>
          <w:spacing w:val="6"/>
        </w:rPr>
        <w:t>四、年初结转和结余：</w:t>
      </w:r>
      <w:r>
        <w:rPr>
          <w:spacing w:val="6"/>
        </w:rPr>
        <w:t>指单位以前年度尚未</w:t>
      </w:r>
      <w:r>
        <w:rPr>
          <w:spacing w:val="5"/>
        </w:rPr>
        <w:t>完成、结转</w:t>
      </w:r>
      <w:r>
        <w:rPr>
          <w:spacing w:val="6"/>
        </w:rPr>
        <w:t>到本年按有关规定用途继续使用的资金，或项</w:t>
      </w:r>
      <w:r>
        <w:rPr>
          <w:spacing w:val="5"/>
        </w:rPr>
        <w:t>目已完成等产</w:t>
      </w:r>
      <w:r>
        <w:rPr>
          <w:spacing w:val="4"/>
        </w:rPr>
        <w:t>生的结余资金。</w:t>
      </w:r>
    </w:p>
    <w:p w14:paraId="5ABF77C3">
      <w:pPr>
        <w:pStyle w:val="2"/>
        <w:spacing w:before="47" w:line="364" w:lineRule="auto"/>
        <w:ind w:left="29" w:right="16" w:firstLine="649"/>
        <w:jc w:val="both"/>
      </w:pPr>
      <w:r>
        <w:rPr>
          <w:b/>
          <w:bCs/>
          <w:spacing w:val="7"/>
        </w:rPr>
        <w:t>五、年末结转和结余：</w:t>
      </w:r>
      <w:r>
        <w:rPr>
          <w:spacing w:val="7"/>
        </w:rPr>
        <w:t>指单位按有关规定结转到</w:t>
      </w:r>
      <w:r>
        <w:rPr>
          <w:spacing w:val="6"/>
        </w:rPr>
        <w:t>下年或</w:t>
      </w:r>
      <w:r>
        <w:rPr>
          <w:spacing w:val="18"/>
        </w:rPr>
        <w:t>以后年度继续使用的资金，或项目已完成等产生的结余资</w:t>
      </w:r>
      <w:r>
        <w:rPr>
          <w:spacing w:val="-3"/>
        </w:rPr>
        <w:t>金。</w:t>
      </w:r>
    </w:p>
    <w:p w14:paraId="5697B23A">
      <w:pPr>
        <w:pStyle w:val="2"/>
        <w:spacing w:before="41" w:line="297" w:lineRule="auto"/>
        <w:ind w:left="31" w:right="13" w:firstLine="649"/>
      </w:pPr>
      <w:r>
        <w:rPr>
          <w:b/>
          <w:bCs/>
          <w:spacing w:val="7"/>
        </w:rPr>
        <w:t>六、基本支出：</w:t>
      </w:r>
      <w:r>
        <w:rPr>
          <w:spacing w:val="7"/>
        </w:rPr>
        <w:t>指为保障机构正常运转、完成日常工作</w:t>
      </w:r>
      <w:r>
        <w:rPr>
          <w:spacing w:val="8"/>
        </w:rPr>
        <w:t>任务而发生的人员支出和公用支出。</w:t>
      </w:r>
    </w:p>
    <w:p w14:paraId="6FDC7C54">
      <w:pPr>
        <w:pStyle w:val="2"/>
        <w:spacing w:before="249" w:line="220" w:lineRule="auto"/>
        <w:ind w:right="16"/>
        <w:jc w:val="center"/>
        <w:rPr>
          <w:rFonts w:ascii="Arial"/>
          <w:sz w:val="21"/>
        </w:rPr>
      </w:pPr>
      <w:r>
        <w:rPr>
          <w:b/>
          <w:bCs/>
          <w:spacing w:val="7"/>
        </w:rPr>
        <w:t>七、项目支出：</w:t>
      </w:r>
      <w:r>
        <w:rPr>
          <w:spacing w:val="7"/>
        </w:rPr>
        <w:t>指在基本支出之外为完成特定行政任务</w:t>
      </w:r>
    </w:p>
    <w:p w14:paraId="69407F50">
      <w:pPr>
        <w:pStyle w:val="2"/>
        <w:spacing w:before="101" w:line="222" w:lineRule="auto"/>
        <w:ind w:left="26"/>
      </w:pPr>
      <w:r>
        <w:rPr>
          <w:spacing w:val="8"/>
        </w:rPr>
        <w:t>或事业发展目标所发生的支出。</w:t>
      </w:r>
    </w:p>
    <w:p w14:paraId="2CAE2333">
      <w:pPr>
        <w:pStyle w:val="2"/>
        <w:spacing w:before="252" w:line="356" w:lineRule="auto"/>
        <w:ind w:left="34" w:firstLine="639"/>
      </w:pPr>
      <w:r>
        <w:rPr>
          <w:b/>
          <w:bCs/>
          <w:spacing w:val="5"/>
        </w:rPr>
        <w:t>八、“三公”经费：</w:t>
      </w:r>
      <w:r>
        <w:rPr>
          <w:spacing w:val="5"/>
        </w:rPr>
        <w:t>纳入省级财政预决算管理的“三公”</w:t>
      </w:r>
      <w:r>
        <w:rPr>
          <w:spacing w:val="9"/>
        </w:rPr>
        <w:t>经费，是指省级部门用财政拨款安排的因公</w:t>
      </w:r>
      <w:r>
        <w:rPr>
          <w:spacing w:val="8"/>
        </w:rPr>
        <w:t>出国（境）费、</w:t>
      </w:r>
    </w:p>
    <w:p w14:paraId="28B5473F">
      <w:pPr>
        <w:pStyle w:val="2"/>
        <w:spacing w:before="48" w:line="368" w:lineRule="auto"/>
        <w:ind w:left="25" w:right="218"/>
      </w:pPr>
      <w:r>
        <w:rPr>
          <w:spacing w:val="9"/>
        </w:rPr>
        <w:t>公务用车购置及运行维护费和公务接待费。是党政机</w:t>
      </w:r>
      <w:r>
        <w:rPr>
          <w:spacing w:val="8"/>
        </w:rPr>
        <w:t>关维持</w:t>
      </w:r>
      <w:r>
        <w:rPr>
          <w:spacing w:val="9"/>
        </w:rPr>
        <w:t>运转或完成特定工作任务所开支的相关支出，是政府行政开</w:t>
      </w:r>
      <w:r>
        <w:rPr>
          <w:spacing w:val="7"/>
        </w:rPr>
        <w:t>支的一部分。其中，因公出国（境）费反映公务</w:t>
      </w:r>
      <w:r>
        <w:rPr>
          <w:spacing w:val="6"/>
        </w:rPr>
        <w:t>出国（境）</w:t>
      </w:r>
      <w:r>
        <w:rPr>
          <w:spacing w:val="1"/>
        </w:rPr>
        <w:t>的国际旅费、国外城市间交通费、住宿费、</w:t>
      </w:r>
      <w:r>
        <w:t>伙食费、培训费、</w:t>
      </w:r>
      <w:r>
        <w:rPr>
          <w:spacing w:val="9"/>
        </w:rPr>
        <w:t>公杂费等支出；公务用车购置及运行费反映单位公务</w:t>
      </w:r>
      <w:r>
        <w:rPr>
          <w:spacing w:val="8"/>
        </w:rPr>
        <w:t>用车车</w:t>
      </w:r>
      <w:r>
        <w:rPr>
          <w:spacing w:val="9"/>
        </w:rPr>
        <w:t>辆购置支出（含车辆购置税）及燃料费、维修费、过</w:t>
      </w:r>
      <w:r>
        <w:rPr>
          <w:spacing w:val="8"/>
        </w:rPr>
        <w:t>桥过路</w:t>
      </w:r>
      <w:r>
        <w:rPr>
          <w:spacing w:val="9"/>
        </w:rPr>
        <w:t>费、保险费、安全奖励费等支出；公务接待费反映单</w:t>
      </w:r>
      <w:r>
        <w:rPr>
          <w:spacing w:val="8"/>
        </w:rPr>
        <w:t>位按规定开支的各类公务接待（含外宾接待）支出。</w:t>
      </w:r>
    </w:p>
    <w:p w14:paraId="1B6F9740">
      <w:pPr>
        <w:pStyle w:val="2"/>
        <w:spacing w:before="55" w:line="366" w:lineRule="auto"/>
        <w:ind w:left="26" w:right="315" w:firstLine="644"/>
      </w:pPr>
      <w:r>
        <w:rPr>
          <w:b/>
          <w:bCs/>
          <w:spacing w:val="7"/>
        </w:rPr>
        <w:t>九、机关运行经费：</w:t>
      </w:r>
      <w:r>
        <w:rPr>
          <w:spacing w:val="7"/>
        </w:rPr>
        <w:t>指为保障行政单位（包括参照公务</w:t>
      </w:r>
      <w:r>
        <w:rPr>
          <w:spacing w:val="21"/>
        </w:rPr>
        <w:t>员法管理的事业单位）运行用于购买货物和服务的各项资</w:t>
      </w:r>
      <w:r>
        <w:rPr>
          <w:spacing w:val="6"/>
        </w:rPr>
        <w:t>金，包括办公费、印刷费、邮电费、差旅费、会议费、福利</w:t>
      </w:r>
      <w:r>
        <w:rPr>
          <w:spacing w:val="5"/>
        </w:rPr>
        <w:t>费、日常维修费、专用材料及一般设备购置费、办公用房水</w:t>
      </w:r>
      <w:r>
        <w:rPr>
          <w:spacing w:val="9"/>
        </w:rPr>
        <w:t>电费、办公用房取暖费、办公用房物业管理费、公</w:t>
      </w:r>
      <w:r>
        <w:rPr>
          <w:spacing w:val="8"/>
        </w:rPr>
        <w:t>务用车运</w:t>
      </w:r>
      <w:r>
        <w:rPr>
          <w:spacing w:val="7"/>
        </w:rPr>
        <w:t>行维护费以及其他费用。</w:t>
      </w:r>
    </w:p>
    <w:sectPr>
      <w:footerReference r:id="rId9" w:type="default"/>
      <w:pgSz w:w="11906" w:h="16839"/>
      <w:pgMar w:top="1587" w:right="2098" w:bottom="1587" w:left="2098" w:header="0" w:footer="960" w:gutter="0"/>
      <w:pgNumType w:fmt="decimal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仿宋_GB2312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5C0DF1A">
    <w:pPr>
      <w:spacing w:line="184" w:lineRule="auto"/>
      <w:ind w:left="4117"/>
      <w:rPr>
        <w:rFonts w:ascii="Times New Roman" w:hAnsi="Times New Roman" w:eastAsia="Times New Roman" w:cs="Times New Roman"/>
        <w:sz w:val="20"/>
        <w:szCs w:val="20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99" name="文本框 9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9246DD5">
                          <w:pPr>
                            <w:pStyle w:val="3"/>
                          </w:pPr>
                          <w:r>
                            <w:t>—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131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Nn2inEzAgAAYwQAAA4AAABkcnMvZTJvRG9jLnhtbK1UzY7TMBC+I/EO&#10;lu80aRGrbtV0VbYqQqrYlRbE2XWcJpL/ZLtNygPAG3Diwp3n6nPw2Wm6aOGwBy7O2DP+xt83M5nf&#10;dEqSg3C+Mbqg41FOidDclI3eFfTTx/WrKSU+MF0yabQo6FF4erN4+WLe2pmYmNrIUjgCEO1nrS1o&#10;HYKdZZnntVDMj4wVGs7KOMUCtm6XlY61QFcym+T5VdYaV1pnuPAep6veSc+I7jmApqoaLlaG75XQ&#10;oUd1QrIASr5urKeL9NqqEjzcVZUXgciCgmlIK5LA3sY1W8zZbOeYrRt+fgJ7zhOecFKs0Uh6gVqx&#10;wMjeNX9BqYY7400VRtyorCeSFAGLcf5Em4eaWZG4QGpvL6L7/wfLPxzuHWnKgl5fU6KZQsVP37+d&#10;fvw6/fxKcAaBWutniHuwiAzdW9OhbYZzj8PIu6ucil8wIvBD3uNFXtEFwuOl6WQ6zeHi8A0b4GeP&#10;163z4Z0wikSjoA71S7Kyw8aHPnQIidm0WTdSphpKTdqCXr1+k6cLFw/ApUaOSKJ/bLRCt+3OzLam&#10;PIKYM31veMvXDZJvmA/3zKEZ8GCMS7jDUkmDJOZsUVIb9+Vf5zEeNYKXkhbNVVCNWaJEvteoHQDD&#10;YLjB2A6G3qtbg24dYwwtTyYuuCAHs3JGfcYMLWMOuJjmyFTQMJi3oW9wzCAXy2UK2lvX7Or+AjrP&#10;srDRD5bHNFFIb5f7ADGTxlGgXpWzbui9VKXznMTm/nOfoh7/DYvf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s0lY7tAAAAAFAQAADwAAAAAAAAABACAAAAAiAAAAZHJzL2Rvd25yZXYueG1sUEsBAhQA&#10;FAAAAAgAh07iQNn2inEzAgAAYwQAAA4AAAAAAAAAAQAgAAAAHwEAAGRycy9lMm9Eb2MueG1sUEsF&#10;BgAAAAAGAAYAWQEAAMQ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9246DD5">
                    <w:pPr>
                      <w:pStyle w:val="3"/>
                    </w:pPr>
                    <w:r>
                      <w:t>—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>—</w:t>
                    </w:r>
                  </w:p>
                </w:txbxContent>
              </v:textbox>
            </v:shape>
          </w:pict>
        </mc:Fallback>
      </mc:AlternateContent>
    </w:r>
    <w:r>
      <w:rPr>
        <w:sz w:val="2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88" name="文本框 8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E46A510"/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/pIAYyAgAAYw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zlB3wzQqfvn+7fLj&#10;1+XnV4IzCFS7MEfcziEyNm9tg7YZzgMOE++m9Dp9wYjAD3nPV3lFEwlPl2bT2WwMF4dv2AA/e7zu&#10;fIjvhNUkGTn1qF8rKzttQ+xCh5CUzdiNVKqtoTKkzunN6zfj9sLVA3BlkCOR6B6brNjsm57Z3hZn&#10;EPO2643g+EYi+ZaF+MA8mgEPxrjEeyylskhie4uSyvov/zpP8agRvJTUaK6cGswSJeq9Qe0AGAfD&#10;D8Z+MMxR31l06wRj6Hhr4oKPajBLb/VnzNAq5YCLGY5MOY2DeRe7BscMcrFatUFH5+Wh6i6g8xyL&#10;W7NzPKVJQga3OkaI2WqcBOpU6XVD77VV6uckNfef+zbq8d+w/A1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j+kgBjICAABj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E46A510"/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B0B37A6">
    <w:pPr>
      <w:pStyle w:val="3"/>
      <w:pBdr>
        <w:between w:val="none" w:color="auto" w:sz="0" w:space="0"/>
      </w:pBdr>
      <w:rPr>
        <w:rFonts w:hint="eastAsia" w:ascii="宋体" w:hAnsi="宋体" w:eastAsia="宋体" w:cs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00" name="文本框 10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4C5AFF4">
                          <w:pPr>
                            <w:pStyle w:val="3"/>
                          </w:pPr>
                          <w:r>
                            <w:t>—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3</w:t>
                          </w:r>
                          <w:r>
                            <w:fldChar w:fldCharType="end"/>
                          </w:r>
                          <w: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2336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TnCo8xAgAAZ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gt0whiaGKZR8sv3b5cf&#10;vy4/v5J0CIlqF+aI3DnExuatbRA+nAccJuZN6XX6ghOBH2Dnq8CiiYSnS7PpbJbycPiGDfCzx+vO&#10;h/hOWE2SkVOPCrbCstM2xC50CEnZjN1IpdoqKkPqnN68fjNuL1w9AFcGORKJ7rHJis2+6ZntbXEG&#10;MW+77giObySSb1mID8yjHfBgDEy8x1IqiyS2tyiprP/yr/MUjyrBS0mN9sqpwTRRot4bVA+AcTD8&#10;YOwHwxz1nUW/TjCIjrcmLvioBrP0Vn/GFK1SDriY4ciU0ziYd7FrcUwhF6tVG3R0Xh6q7gJ6z7G4&#10;NTvHU5okZHCrY4SYrcZJoE6VXjd0X1ulflJSe/+5b6Me/w7L3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5wqPMQIAAGU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4C5AFF4">
                    <w:pPr>
                      <w:pStyle w:val="3"/>
                    </w:pPr>
                    <w:r>
                      <w:t>—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3</w:t>
                    </w:r>
                    <w:r>
                      <w:fldChar w:fldCharType="end"/>
                    </w:r>
                    <w:r>
                      <w:t>—</w:t>
                    </w:r>
                  </w:p>
                </w:txbxContent>
              </v:textbox>
            </v:shape>
          </w:pict>
        </mc:Fallback>
      </mc:AlternateContent>
    </w:r>
  </w:p>
  <w:p w14:paraId="58B7554C">
    <w:pPr>
      <w:spacing w:line="184" w:lineRule="auto"/>
      <w:rPr>
        <w:rFonts w:ascii="Times New Roman" w:hAnsi="Times New Roman" w:eastAsia="Times New Roman" w:cs="Times New Roman"/>
        <w:sz w:val="20"/>
        <w:szCs w:val="2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84BD9DB">
    <w:pPr>
      <w:pStyle w:val="3"/>
      <w:pBdr>
        <w:between w:val="none" w:color="auto" w:sz="0" w:space="0"/>
      </w:pBdr>
      <w:rPr>
        <w:rFonts w:hint="eastAsia" w:ascii="宋体" w:hAnsi="宋体" w:eastAsia="宋体" w:cs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01" name="文本框 10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05BC67A">
                          <w:pPr>
                            <w:pStyle w:val="3"/>
                          </w:pPr>
                          <w:r>
                            <w:t>—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4</w:t>
                          </w:r>
                          <w:r>
                            <w:fldChar w:fldCharType="end"/>
                          </w:r>
                          <w: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336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9blBMyAgAAZQQAAA4AAABkcnMvZTJvRG9jLnhtbK1UzY7TMBC+I/EO&#10;lu80aRGrqmq6KlsVIVXsSgVxdh2nseQ/2W6T8gDwBpy4cOe5+hx8TpouWjjsgYsz9oy/me+bcea3&#10;rVbkKHyQ1hR0PMopEYbbUpp9QT99XL+aUhIiMyVT1oiCnkSgt4uXL+aNm4mJra0qhScAMWHWuILW&#10;MbpZlgVeC83CyDph4Kys1yxi6/dZ6VkDdK2ySZ7fZI31pfOWixBwuuqd9ILonwNoq0pysbL8oIWJ&#10;PaoXikVQCrV0gS66aqtK8HhfVUFEogoKprFbkQT2Lq3ZYs5me89cLfmlBPacEp5w0kwaJL1CrVhk&#10;5ODlX1Bacm+DreKIW531RDpFwGKcP9FmWzMnOi6QOrir6OH/wfIPxwdPZIlJyMeUGKbR8vP3b+cf&#10;v84/v5J0CIkaF2aI3DrExvatbRE+nAccJuZt5XX6ghOBHwKfrgKLNhKeLk0n02kOF4dv2AA/e7zu&#10;fIjvhNUkGQX16GAnLDtuQuxDh5CUzdi1VKrrojKkKejN6zd5d+HqAbgyyJFI9MUmK7a79sJsZ8sT&#10;iHnbT0dwfC2RfMNCfGAe44CC8WDiPZZKWSSxF4uS2vov/zpP8egSvJQ0GK+CGrwmStR7g+4BMA6G&#10;H4zdYJiDvrOYV/QDtXQmLvioBrPyVn/GK1qmHHAxw5GpoHEw72I/4niFXCyXXdDBebmv+wuYPcfi&#10;xmwdT2mSkMEtDxFidhongXpVLrph+rouXV5KGu8/913U499h8Rt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T1uUEzICAABl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05BC67A">
                    <w:pPr>
                      <w:pStyle w:val="3"/>
                    </w:pPr>
                    <w:r>
                      <w:t>—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4</w:t>
                    </w:r>
                    <w:r>
                      <w:fldChar w:fldCharType="end"/>
                    </w:r>
                    <w:r>
                      <w:t>—</w:t>
                    </w:r>
                  </w:p>
                </w:txbxContent>
              </v:textbox>
            </v:shape>
          </w:pict>
        </mc:Fallback>
      </mc:AlternateContent>
    </w:r>
  </w:p>
  <w:p w14:paraId="1DED6D69">
    <w:pPr>
      <w:pStyle w:val="3"/>
      <w:rPr>
        <w:rFonts w:hint="default"/>
        <w:lang w:val="en-US" w:eastAsia="zh-CN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AE84AA6">
    <w:pPr>
      <w:pStyle w:val="3"/>
      <w:pBdr>
        <w:between w:val="none" w:color="auto" w:sz="0" w:space="0"/>
      </w:pBdr>
      <w:rPr>
        <w:rFonts w:hint="eastAsia" w:ascii="宋体" w:hAnsi="宋体" w:eastAsia="宋体" w:cs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02" name="文本框 10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F2775A1">
                          <w:pPr>
                            <w:pStyle w:val="3"/>
                          </w:pPr>
                          <w:r>
                            <w:t>—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5</w:t>
                          </w:r>
                          <w:r>
                            <w:fldChar w:fldCharType="end"/>
                          </w:r>
                          <w: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438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OZRm0zAgAAZQQAAA4AAABkcnMvZTJvRG9jLnhtbK1UzY7TMBC+I/EO&#10;lu80aRGrqmq6KlsVIVXsSgVxdh2nieQ/2W6T8gDwBpy4cOe5+hx8dpouWjjsgYsz9oy/8ffNTOa3&#10;nZLkKJxvjC7oeJRTIjQ3ZaP3Bf30cf1qSokPTJdMGi0KehKe3i5evpi3diYmpjayFI4ARPtZawta&#10;h2BnWeZ5LRTzI2OFhrMyTrGArdtnpWMt0JXMJnl+k7XGldYZLrzH6ap30guiew6gqaqGi5XhByV0&#10;6FGdkCyAkq8b6+kivbaqBA/3VeVFILKgYBrSiiSwd3HNFnM22ztm64ZfnsCe84QnnBRrNJJeoVYs&#10;MHJwzV9QquHOeFOFETcq64kkRcBinD/RZlszKxIXSO3tVXT//2D5h+ODI02JTsgnlGimUPLz92/n&#10;H7/OP7+SeAiJWutniNxaxIburekQPpx7HEbmXeVU/IITgR8Cn64Ciy4QHi9NJ9NpDheHb9gAP3u8&#10;bp0P74RRJBoFdahgEpYdNz70oUNIzKbNupEyVVFq0hb05vWbPF24egAuNXJEEv1joxW6XXdhtjPl&#10;CcSc6bvDW75ukHzDfHhgDu2AB2Ngwj2WShokMReLktq4L/86j/GoEryUtGivgmpMEyXyvUb1ABgG&#10;ww3GbjD0Qd0Z9OsYg2h5MnHBBTmYlTPqM6ZoGXPAxTRHpoKGwbwLfYtjCrlYLlPQwbpmX/cX0HuW&#10;hY3eWh7TRCG9XR4CxEwaR4F6VS66oftSlS6TEtv7z32Kevw7LH4D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s0lY7tAAAAAFAQAADwAAAAAAAAABACAAAAAiAAAAZHJzL2Rvd25yZXYueG1sUEsBAhQA&#10;FAAAAAgAh07iQLOZRm0zAgAAZQQAAA4AAAAAAAAAAQAgAAAAHwEAAGRycy9lMm9Eb2MueG1sUEsF&#10;BgAAAAAGAAYAWQEAAMQ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F2775A1">
                    <w:pPr>
                      <w:pStyle w:val="3"/>
                    </w:pPr>
                    <w:r>
                      <w:t>—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5</w:t>
                    </w:r>
                    <w:r>
                      <w:fldChar w:fldCharType="end"/>
                    </w:r>
                    <w:r>
                      <w:t>—</w:t>
                    </w:r>
                  </w:p>
                </w:txbxContent>
              </v:textbox>
            </v:shape>
          </w:pict>
        </mc:Fallback>
      </mc:AlternateContent>
    </w:r>
  </w:p>
  <w:p w14:paraId="64343F8B">
    <w:pPr>
      <w:spacing w:line="184" w:lineRule="auto"/>
      <w:ind w:left="4087"/>
      <w:rPr>
        <w:rFonts w:ascii="Times New Roman" w:hAnsi="Times New Roman" w:eastAsia="Times New Roman" w:cs="Times New Roman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65C77D6">
    <w:pPr>
      <w:spacing w:line="14" w:lineRule="auto"/>
      <w:rPr>
        <w:rFonts w:hint="eastAsia" w:eastAsia="宋体"/>
        <w:sz w:val="2"/>
        <w:lang w:val="en-US" w:eastAsia="zh-CN"/>
      </w:rPr>
    </w:pPr>
    <w:r>
      <w:rPr>
        <w:rFonts w:hint="eastAsia" w:eastAsia="宋体"/>
        <w:sz w:val="2"/>
        <w:lang w:val="en-US" w:eastAsia="zh-CN"/>
      </w:rPr>
      <w:t>1</w:t>
    </w:r>
  </w:p>
  <w:p w14:paraId="1FD47079">
    <w:pPr>
      <w:spacing w:line="14" w:lineRule="auto"/>
      <w:rPr>
        <w:rFonts w:hint="eastAsia" w:eastAsia="宋体"/>
        <w:sz w:val="2"/>
        <w:lang w:val="en-US" w:eastAsia="zh-CN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14DA71F"/>
    <w:multiLevelType w:val="singleLevel"/>
    <w:tmpl w:val="A14DA71F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B3CDAE60"/>
    <w:multiLevelType w:val="singleLevel"/>
    <w:tmpl w:val="B3CDAE60"/>
    <w:lvl w:ilvl="0" w:tentative="0">
      <w:start w:val="5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50"/>
  <w:displayBackgroundShape w:val="1"/>
  <w:bordersDoNotSurroundHeader w:val="0"/>
  <w:bordersDoNotSurroundFooter w:val="0"/>
  <w:documentProtection w:enforcement="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doNotExpandShiftReturn/>
    <w:doNotWrapTextWithPunct/>
    <w:doNotUseEastAsianBreakRules/>
    <w:useFELayout/>
    <w:compatSetting w:name="compatibilityMode" w:uri="http://schemas.microsoft.com/office/word" w:val="14"/>
  </w:compat>
  <w:rsids>
    <w:rsidRoot w:val="00000000"/>
    <w:rsid w:val="02032C11"/>
    <w:rsid w:val="034F25D7"/>
    <w:rsid w:val="050B6D02"/>
    <w:rsid w:val="07741229"/>
    <w:rsid w:val="09CD2C33"/>
    <w:rsid w:val="09EF6C13"/>
    <w:rsid w:val="0BC67500"/>
    <w:rsid w:val="0D2D7BF7"/>
    <w:rsid w:val="0D63594E"/>
    <w:rsid w:val="127A4AC8"/>
    <w:rsid w:val="15A84347"/>
    <w:rsid w:val="160238BD"/>
    <w:rsid w:val="166730D5"/>
    <w:rsid w:val="18096877"/>
    <w:rsid w:val="18766AFC"/>
    <w:rsid w:val="1B267815"/>
    <w:rsid w:val="1B993A77"/>
    <w:rsid w:val="20191E9C"/>
    <w:rsid w:val="202251F5"/>
    <w:rsid w:val="278F2A0E"/>
    <w:rsid w:val="2825417C"/>
    <w:rsid w:val="29B12E6C"/>
    <w:rsid w:val="2CB12DBE"/>
    <w:rsid w:val="2CE33F5E"/>
    <w:rsid w:val="321E07D7"/>
    <w:rsid w:val="36195880"/>
    <w:rsid w:val="37F30DCD"/>
    <w:rsid w:val="44ED5942"/>
    <w:rsid w:val="455930DC"/>
    <w:rsid w:val="4AB50CAB"/>
    <w:rsid w:val="4F306041"/>
    <w:rsid w:val="5454206B"/>
    <w:rsid w:val="5730569B"/>
    <w:rsid w:val="57573FCD"/>
    <w:rsid w:val="58B31C4F"/>
    <w:rsid w:val="5A11378C"/>
    <w:rsid w:val="5C3830CF"/>
    <w:rsid w:val="5CF5325A"/>
    <w:rsid w:val="5D9C7014"/>
    <w:rsid w:val="62957FCE"/>
    <w:rsid w:val="644524D7"/>
    <w:rsid w:val="658F3AF8"/>
    <w:rsid w:val="674C320E"/>
    <w:rsid w:val="68C16B60"/>
    <w:rsid w:val="692103FE"/>
    <w:rsid w:val="6AD11049"/>
    <w:rsid w:val="6D06121C"/>
    <w:rsid w:val="719428A4"/>
    <w:rsid w:val="738E1F21"/>
    <w:rsid w:val="7992368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1"/>
      <w:szCs w:val="31"/>
      <w:lang w:val="en-US" w:eastAsia="en-US" w:bidi="ar-SA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7">
    <w:name w:val="page number"/>
    <w:basedOn w:val="6"/>
    <w:qFormat/>
    <w:uiPriority w:val="0"/>
  </w:style>
  <w:style w:type="table" w:customStyle="1" w:styleId="8">
    <w:name w:val="Table Normal"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9">
    <w:name w:val=" Char"/>
    <w:basedOn w:val="1"/>
    <w:qFormat/>
    <w:uiPriority w:val="0"/>
    <w:pPr>
      <w:widowControl/>
      <w:spacing w:after="160" w:line="240" w:lineRule="exact"/>
      <w:jc w:val="left"/>
    </w:pPr>
    <w:rPr>
      <w:rFonts w:eastAsia="宋体"/>
      <w:sz w:val="21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4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3" Type="http://schemas.openxmlformats.org/officeDocument/2006/relationships/fontTable" Target="fontTable.xml"/><Relationship Id="rId22" Type="http://schemas.openxmlformats.org/officeDocument/2006/relationships/numbering" Target="numbering.xml"/><Relationship Id="rId21" Type="http://schemas.openxmlformats.org/officeDocument/2006/relationships/customXml" Target="../customXml/item1.xml"/><Relationship Id="rId20" Type="http://schemas.openxmlformats.org/officeDocument/2006/relationships/image" Target="media/image10.jpeg"/><Relationship Id="rId2" Type="http://schemas.openxmlformats.org/officeDocument/2006/relationships/settings" Target="settings.xml"/><Relationship Id="rId19" Type="http://schemas.openxmlformats.org/officeDocument/2006/relationships/image" Target="media/image9.jpeg"/><Relationship Id="rId18" Type="http://schemas.openxmlformats.org/officeDocument/2006/relationships/image" Target="media/image8.jpeg"/><Relationship Id="rId17" Type="http://schemas.openxmlformats.org/officeDocument/2006/relationships/image" Target="media/image7.jpeg"/><Relationship Id="rId16" Type="http://schemas.openxmlformats.org/officeDocument/2006/relationships/image" Target="media/image6.png"/><Relationship Id="rId15" Type="http://schemas.openxmlformats.org/officeDocument/2006/relationships/image" Target="media/image5.png"/><Relationship Id="rId14" Type="http://schemas.openxmlformats.org/officeDocument/2006/relationships/image" Target="media/image4.png"/><Relationship Id="rId13" Type="http://schemas.openxmlformats.org/officeDocument/2006/relationships/image" Target="media/image3.png"/><Relationship Id="rId12" Type="http://schemas.openxmlformats.org/officeDocument/2006/relationships/image" Target="media/image2.png"/><Relationship Id="rId11" Type="http://schemas.openxmlformats.org/officeDocument/2006/relationships/image" Target="media/image1.png"/><Relationship Id="rId10" Type="http://schemas.openxmlformats.org/officeDocument/2006/relationships/theme" Target="theme/theme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17</Pages>
  <Words>3781</Words>
  <Characters>4063</Characters>
  <Lines>0</Lines>
  <Paragraphs>0</Paragraphs>
  <TotalTime>5</TotalTime>
  <ScaleCrop>false</ScaleCrop>
  <LinksUpToDate>false</LinksUpToDate>
  <CharactersWithSpaces>4063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2025-09-16T14:40:00Z</dcterms:created>
  <dc:creator>王志强</dc:creator>
  <cp:lastModifiedBy>于嘉晨妈妈</cp:lastModifiedBy>
  <dcterms:modified xsi:type="dcterms:W3CDTF">2026-08-28T00:57:07Z</dcterms:modified>
  <dc:title>2015年度部门决算公开模板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2025-09-17T10:06:46Z</vt:filetime>
  </property>
  <property fmtid="{D5CDD505-2E9C-101B-9397-08002B2CF9AE}" pid="4" name="KSOProductBuildVer">
    <vt:lpwstr>2052-12.1.0.28505</vt:lpwstr>
  </property>
  <property fmtid="{D5CDD505-2E9C-101B-9397-08002B2CF9AE}" pid="5" name="KSOTemplateDocerSaveRecord">
    <vt:lpwstr>eyJoZGlkIjoiZTQ5ZGVkNzZkMTA3ZDQwMGI4NzZlOWYzZjJmNWEzZmIiLCJ1c2VySWQiOiIzNzE3MTkwNDkifQ==</vt:lpwstr>
  </property>
  <property fmtid="{D5CDD505-2E9C-101B-9397-08002B2CF9AE}" pid="6" name="ICV">
    <vt:lpwstr>ED5332402D954493A14F449864822175_12</vt:lpwstr>
  </property>
</Properties>
</file>